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74477" w14:textId="77777777" w:rsidR="00583A54" w:rsidRDefault="00654B98">
      <w:pPr>
        <w:pStyle w:val="Default"/>
      </w:pPr>
      <w:bookmarkStart w:id="0" w:name="_GoBack"/>
      <w:bookmarkEnd w:id="0"/>
      <w:r>
        <w:t xml:space="preserve">June 1, 2017 </w:t>
      </w:r>
    </w:p>
    <w:p w14:paraId="413A40AD" w14:textId="77777777" w:rsidR="00583A54" w:rsidRDefault="00583A54">
      <w:pPr>
        <w:pStyle w:val="Default"/>
      </w:pPr>
    </w:p>
    <w:p w14:paraId="72D01692" w14:textId="77777777" w:rsidR="00583A54" w:rsidRDefault="00654B98">
      <w:pPr>
        <w:pStyle w:val="Default"/>
      </w:pPr>
      <w:r>
        <w:t xml:space="preserve">The Honorable Patrick </w:t>
      </w:r>
      <w:proofErr w:type="spellStart"/>
      <w:r>
        <w:t>Tiberi</w:t>
      </w:r>
      <w:proofErr w:type="spellEnd"/>
    </w:p>
    <w:p w14:paraId="33FEC431" w14:textId="77777777" w:rsidR="00583A54" w:rsidRDefault="00654B98">
      <w:pPr>
        <w:pStyle w:val="Default"/>
      </w:pPr>
      <w:r>
        <w:t>Chairman, Subcommittee on Health</w:t>
      </w:r>
    </w:p>
    <w:p w14:paraId="4FB96E08" w14:textId="77777777" w:rsidR="00583A54" w:rsidRDefault="00654B98">
      <w:pPr>
        <w:pStyle w:val="Default"/>
      </w:pPr>
      <w:r>
        <w:t>Committee on Ways and Means</w:t>
      </w:r>
    </w:p>
    <w:p w14:paraId="17BF07C5" w14:textId="77777777" w:rsidR="00583A54" w:rsidRDefault="00654B98">
      <w:pPr>
        <w:pStyle w:val="Default"/>
      </w:pPr>
      <w:r>
        <w:t>U.S. House of Representatives</w:t>
      </w:r>
    </w:p>
    <w:p w14:paraId="1699C266" w14:textId="77777777" w:rsidR="00583A54" w:rsidRDefault="00654B98">
      <w:pPr>
        <w:pStyle w:val="Default"/>
      </w:pPr>
      <w:r>
        <w:t>1135 Longworth House Office Building</w:t>
      </w:r>
    </w:p>
    <w:p w14:paraId="23C36E84" w14:textId="77777777" w:rsidR="00583A54" w:rsidRDefault="00654B98">
      <w:pPr>
        <w:pStyle w:val="Default"/>
      </w:pPr>
      <w:r>
        <w:t>Washington, DC 20515</w:t>
      </w:r>
    </w:p>
    <w:p w14:paraId="1B737EEB" w14:textId="77777777" w:rsidR="00583A54" w:rsidRDefault="00583A54">
      <w:pPr>
        <w:pStyle w:val="Default"/>
      </w:pPr>
    </w:p>
    <w:p w14:paraId="38D8C35B" w14:textId="77777777" w:rsidR="00583A54" w:rsidRDefault="00583A54">
      <w:pPr>
        <w:pStyle w:val="Default"/>
        <w:rPr>
          <w:b/>
          <w:bCs/>
          <w:i/>
          <w:iCs/>
        </w:rPr>
      </w:pPr>
    </w:p>
    <w:p w14:paraId="6ECB468F" w14:textId="77777777" w:rsidR="00583A54" w:rsidRDefault="00654B98">
      <w:pPr>
        <w:pStyle w:val="Default"/>
        <w:rPr>
          <w:b/>
          <w:bCs/>
          <w:i/>
          <w:iCs/>
        </w:rPr>
      </w:pPr>
      <w:r>
        <w:rPr>
          <w:b/>
          <w:bCs/>
          <w:i/>
          <w:iCs/>
        </w:rPr>
        <w:t>DELIVERED VIA E-MAIL</w:t>
      </w:r>
    </w:p>
    <w:p w14:paraId="075EC740" w14:textId="77777777" w:rsidR="00583A54" w:rsidRDefault="00583A54">
      <w:pPr>
        <w:pStyle w:val="Default"/>
      </w:pPr>
    </w:p>
    <w:p w14:paraId="5A0E99EC" w14:textId="77777777" w:rsidR="00583A54" w:rsidRDefault="00654B98">
      <w:pPr>
        <w:pStyle w:val="Default"/>
      </w:pPr>
      <w:r>
        <w:t xml:space="preserve">Dear Chairman </w:t>
      </w:r>
      <w:proofErr w:type="spellStart"/>
      <w:r>
        <w:t>Tiberi</w:t>
      </w:r>
      <w:proofErr w:type="spellEnd"/>
      <w:r>
        <w:t xml:space="preserve">: </w:t>
      </w:r>
    </w:p>
    <w:p w14:paraId="7D33CAFF" w14:textId="77777777" w:rsidR="00583A54" w:rsidRDefault="00583A54">
      <w:pPr>
        <w:pStyle w:val="Body"/>
        <w:rPr>
          <w:rFonts w:ascii="Times New Roman" w:eastAsia="Times New Roman" w:hAnsi="Times New Roman" w:cs="Times New Roman"/>
          <w:sz w:val="24"/>
          <w:szCs w:val="24"/>
        </w:rPr>
      </w:pPr>
    </w:p>
    <w:p w14:paraId="46FF97CA"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 xml:space="preserve">The American </w:t>
      </w:r>
      <w:r>
        <w:rPr>
          <w:rFonts w:ascii="Times New Roman" w:hAnsi="Times New Roman"/>
          <w:sz w:val="24"/>
          <w:szCs w:val="24"/>
        </w:rPr>
        <w:t>Clinical Laboratory Association (ACLA) appreciates the opportunity to submit comments on the Medicare program. ACLA is an association representing the nation</w:t>
      </w:r>
      <w:r>
        <w:rPr>
          <w:rFonts w:ascii="Times New Roman" w:hAnsi="Times New Roman"/>
          <w:sz w:val="24"/>
          <w:szCs w:val="24"/>
        </w:rPr>
        <w:t>’</w:t>
      </w:r>
      <w:r>
        <w:rPr>
          <w:rFonts w:ascii="Times New Roman" w:hAnsi="Times New Roman"/>
          <w:sz w:val="24"/>
          <w:szCs w:val="24"/>
        </w:rPr>
        <w:t>s leading providers of clinical laboratory services, including large national independent laborato</w:t>
      </w:r>
      <w:r>
        <w:rPr>
          <w:rFonts w:ascii="Times New Roman" w:hAnsi="Times New Roman"/>
          <w:sz w:val="24"/>
          <w:szCs w:val="24"/>
        </w:rPr>
        <w:t>ries, reference laboratories, esoteric laboratories, hospital laboratories and nursing home laboratories.  The services our members offer include commonly ordered lab tests (</w:t>
      </w:r>
      <w:r>
        <w:rPr>
          <w:rFonts w:ascii="Times New Roman" w:hAnsi="Times New Roman"/>
          <w:i/>
          <w:iCs/>
          <w:sz w:val="24"/>
          <w:szCs w:val="24"/>
        </w:rPr>
        <w:t>e.g.</w:t>
      </w:r>
      <w:r>
        <w:rPr>
          <w:rFonts w:ascii="Times New Roman" w:hAnsi="Times New Roman"/>
          <w:sz w:val="24"/>
          <w:szCs w:val="24"/>
        </w:rPr>
        <w:t>, glucose monitoring and blood counts), as well as innovative molecular diagno</w:t>
      </w:r>
      <w:r>
        <w:rPr>
          <w:rFonts w:ascii="Times New Roman" w:hAnsi="Times New Roman"/>
          <w:sz w:val="24"/>
          <w:szCs w:val="24"/>
        </w:rPr>
        <w:t xml:space="preserve">stic lab tests such as genomic sequencing panels and algorithm-based tests.  </w:t>
      </w:r>
    </w:p>
    <w:p w14:paraId="566F03A9" w14:textId="77777777" w:rsidR="00583A54" w:rsidRDefault="00583A54">
      <w:pPr>
        <w:pStyle w:val="Body"/>
        <w:rPr>
          <w:rFonts w:ascii="Times New Roman" w:eastAsia="Times New Roman" w:hAnsi="Times New Roman" w:cs="Times New Roman"/>
          <w:sz w:val="24"/>
          <w:szCs w:val="24"/>
        </w:rPr>
      </w:pPr>
    </w:p>
    <w:p w14:paraId="7BEC5E15"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Whether tests on the cutting edge of medicine or more routine tests, clinical laboratory services provide cost-effective tools which aid in guiding diagnosis, prevention, and tr</w:t>
      </w:r>
      <w:r>
        <w:rPr>
          <w:rFonts w:ascii="Times New Roman" w:hAnsi="Times New Roman"/>
          <w:sz w:val="24"/>
          <w:szCs w:val="24"/>
        </w:rPr>
        <w:t xml:space="preserve">eatment, thereby, avoiding more costly patient interventions and outcomes. </w:t>
      </w:r>
    </w:p>
    <w:p w14:paraId="35E236DA" w14:textId="77777777" w:rsidR="00583A54" w:rsidRDefault="00583A54">
      <w:pPr>
        <w:pStyle w:val="Default"/>
      </w:pPr>
    </w:p>
    <w:p w14:paraId="425F2056"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Our members serve a significant Medicare population and have a direct stake in ensuring that services remain accessible to all Medicare beneficiaries. We respectfully share the fo</w:t>
      </w:r>
      <w:r>
        <w:rPr>
          <w:rFonts w:ascii="Times New Roman" w:hAnsi="Times New Roman"/>
          <w:sz w:val="24"/>
          <w:szCs w:val="24"/>
        </w:rPr>
        <w:t>llowing proposals for the Medicare program to improve service, increase access, and reduce unnecessary regulations.</w:t>
      </w:r>
    </w:p>
    <w:p w14:paraId="56686699" w14:textId="77777777" w:rsidR="00583A54" w:rsidRDefault="00583A54">
      <w:pPr>
        <w:pStyle w:val="Body"/>
        <w:rPr>
          <w:rFonts w:ascii="Times New Roman" w:eastAsia="Times New Roman" w:hAnsi="Times New Roman" w:cs="Times New Roman"/>
          <w:b/>
          <w:bCs/>
          <w:sz w:val="24"/>
          <w:szCs w:val="24"/>
        </w:rPr>
      </w:pPr>
    </w:p>
    <w:p w14:paraId="7E34CFDF" w14:textId="77777777" w:rsidR="00583A54" w:rsidRDefault="00583A54">
      <w:pPr>
        <w:pStyle w:val="Body"/>
        <w:rPr>
          <w:rFonts w:ascii="Times New Roman" w:eastAsia="Times New Roman" w:hAnsi="Times New Roman" w:cs="Times New Roman"/>
          <w:b/>
          <w:bCs/>
          <w:sz w:val="24"/>
          <w:szCs w:val="24"/>
        </w:rPr>
      </w:pPr>
    </w:p>
    <w:p w14:paraId="4B17AB7A" w14:textId="77777777" w:rsidR="00583A54" w:rsidRDefault="00654B98">
      <w:pPr>
        <w:pStyle w:val="ListParagraph"/>
        <w:numPr>
          <w:ilvl w:val="0"/>
          <w:numId w:val="2"/>
        </w:numPr>
        <w:rPr>
          <w:rFonts w:ascii="Times New Roman" w:eastAsia="Times New Roman" w:hAnsi="Times New Roman" w:cs="Times New Roman"/>
          <w:b/>
          <w:bCs/>
          <w:sz w:val="24"/>
          <w:szCs w:val="24"/>
        </w:rPr>
      </w:pPr>
      <w:r>
        <w:rPr>
          <w:rFonts w:ascii="Times New Roman" w:hAnsi="Times New Roman"/>
          <w:b/>
          <w:bCs/>
          <w:sz w:val="24"/>
          <w:szCs w:val="24"/>
        </w:rPr>
        <w:t xml:space="preserve">ACLA supports accurately capturing private market </w:t>
      </w:r>
      <w:proofErr w:type="spellStart"/>
      <w:r>
        <w:rPr>
          <w:rFonts w:ascii="Times New Roman" w:hAnsi="Times New Roman"/>
          <w:b/>
          <w:bCs/>
          <w:sz w:val="24"/>
          <w:szCs w:val="24"/>
        </w:rPr>
        <w:t>payor</w:t>
      </w:r>
      <w:proofErr w:type="spellEnd"/>
      <w:r>
        <w:rPr>
          <w:rFonts w:ascii="Times New Roman" w:hAnsi="Times New Roman"/>
          <w:b/>
          <w:bCs/>
          <w:sz w:val="24"/>
          <w:szCs w:val="24"/>
        </w:rPr>
        <w:t xml:space="preserve"> rates by fixing the applicable laboratory definition in the Protecting Access to M</w:t>
      </w:r>
      <w:r>
        <w:rPr>
          <w:rFonts w:ascii="Times New Roman" w:hAnsi="Times New Roman"/>
          <w:b/>
          <w:bCs/>
          <w:sz w:val="24"/>
          <w:szCs w:val="24"/>
        </w:rPr>
        <w:t>edicare Act of 2014 (PAMA).</w:t>
      </w:r>
    </w:p>
    <w:p w14:paraId="661A3EC2"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Since the enactment of PAMA, ACLA has worked closely and collaboratively with Congress and the Centers for Medicare and Medicaid Services (CMS) on the implementation of Section 216 of PAMA, which established a new method for pri</w:t>
      </w:r>
      <w:r>
        <w:rPr>
          <w:rFonts w:ascii="Times New Roman" w:hAnsi="Times New Roman"/>
          <w:sz w:val="24"/>
          <w:szCs w:val="24"/>
        </w:rPr>
        <w:t xml:space="preserve">cing clinical laboratory services to replace the static Clinical Laboratory Fee Schedule (CLFS) with reimbursement based on private market rates. </w:t>
      </w:r>
    </w:p>
    <w:p w14:paraId="17E697B5" w14:textId="77777777" w:rsidR="00583A54" w:rsidRDefault="00583A54">
      <w:pPr>
        <w:pStyle w:val="Body"/>
        <w:rPr>
          <w:rFonts w:ascii="Times New Roman" w:eastAsia="Times New Roman" w:hAnsi="Times New Roman" w:cs="Times New Roman"/>
          <w:sz w:val="24"/>
          <w:szCs w:val="24"/>
        </w:rPr>
      </w:pPr>
    </w:p>
    <w:p w14:paraId="0456BE91"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lastRenderedPageBreak/>
        <w:t>ACLA supported Section 216, as Congress clearly intended rates to be based on the broad scope of the laborat</w:t>
      </w:r>
      <w:r>
        <w:rPr>
          <w:rFonts w:ascii="Times New Roman" w:hAnsi="Times New Roman"/>
          <w:sz w:val="24"/>
          <w:szCs w:val="24"/>
        </w:rPr>
        <w:t>ory market.</w:t>
      </w:r>
      <w:r>
        <w:rPr>
          <w:rFonts w:ascii="Times New Roman" w:eastAsia="Times New Roman" w:hAnsi="Times New Roman" w:cs="Times New Roman"/>
          <w:sz w:val="24"/>
          <w:szCs w:val="24"/>
          <w:vertAlign w:val="superscript"/>
        </w:rPr>
        <w:footnoteReference w:id="2"/>
      </w:r>
      <w:r>
        <w:rPr>
          <w:rFonts w:ascii="Times New Roman" w:hAnsi="Times New Roman"/>
          <w:sz w:val="24"/>
          <w:szCs w:val="24"/>
          <w:vertAlign w:val="superscript"/>
        </w:rPr>
        <w:t>,</w:t>
      </w:r>
      <w:r>
        <w:rPr>
          <w:rFonts w:ascii="Times New Roman" w:eastAsia="Times New Roman" w:hAnsi="Times New Roman" w:cs="Times New Roman"/>
          <w:sz w:val="24"/>
          <w:szCs w:val="24"/>
          <w:vertAlign w:val="superscript"/>
        </w:rPr>
        <w:footnoteReference w:id="3"/>
      </w:r>
      <w:r>
        <w:rPr>
          <w:rFonts w:ascii="Times New Roman" w:hAnsi="Times New Roman"/>
          <w:sz w:val="24"/>
          <w:szCs w:val="24"/>
        </w:rPr>
        <w:t xml:space="preserve"> As defined by the PAMA statute, </w:t>
      </w:r>
      <w:r>
        <w:rPr>
          <w:rFonts w:ascii="Times New Roman" w:hAnsi="Times New Roman"/>
          <w:sz w:val="24"/>
          <w:szCs w:val="24"/>
        </w:rPr>
        <w:t>“</w:t>
      </w:r>
      <w:r>
        <w:rPr>
          <w:rFonts w:ascii="Times New Roman" w:hAnsi="Times New Roman"/>
          <w:sz w:val="24"/>
          <w:szCs w:val="24"/>
        </w:rPr>
        <w:t>applicable laboratories</w:t>
      </w:r>
      <w:r>
        <w:rPr>
          <w:rFonts w:ascii="Times New Roman" w:hAnsi="Times New Roman"/>
          <w:sz w:val="24"/>
          <w:szCs w:val="24"/>
        </w:rPr>
        <w:t xml:space="preserve">” </w:t>
      </w:r>
      <w:r>
        <w:rPr>
          <w:rFonts w:ascii="Times New Roman" w:hAnsi="Times New Roman"/>
          <w:sz w:val="24"/>
          <w:szCs w:val="24"/>
        </w:rPr>
        <w:t xml:space="preserve">are currently required to submit all private market prices for clinical laboratory services. </w:t>
      </w:r>
    </w:p>
    <w:p w14:paraId="0ED982EA" w14:textId="77777777" w:rsidR="00583A54" w:rsidRDefault="00583A54">
      <w:pPr>
        <w:pStyle w:val="Body"/>
        <w:rPr>
          <w:rFonts w:ascii="Times New Roman" w:eastAsia="Times New Roman" w:hAnsi="Times New Roman" w:cs="Times New Roman"/>
          <w:sz w:val="24"/>
          <w:szCs w:val="24"/>
        </w:rPr>
      </w:pPr>
    </w:p>
    <w:p w14:paraId="4980145D"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 xml:space="preserve">Unfortunately, the definition for applicable laboratories, as defined by the final rule, is so narrow and restrictive that a September 2016 Health &amp; Human Services (HHS) Office of Inspector General (OIG) report estimated that only five percent of clinical </w:t>
      </w:r>
      <w:r>
        <w:rPr>
          <w:rFonts w:ascii="Times New Roman" w:hAnsi="Times New Roman"/>
          <w:sz w:val="24"/>
          <w:szCs w:val="24"/>
        </w:rPr>
        <w:t xml:space="preserve">laboratories will be required to submit private market data under PAMA. The same report also estimated that </w:t>
      </w:r>
      <w:r>
        <w:rPr>
          <w:rFonts w:ascii="Times New Roman" w:hAnsi="Times New Roman"/>
          <w:sz w:val="24"/>
          <w:szCs w:val="24"/>
        </w:rPr>
        <w:t>“</w:t>
      </w:r>
      <w:r>
        <w:rPr>
          <w:rFonts w:ascii="Times New Roman" w:hAnsi="Times New Roman"/>
          <w:sz w:val="24"/>
          <w:szCs w:val="24"/>
        </w:rPr>
        <w:t>0 of 6,994</w:t>
      </w:r>
      <w:r>
        <w:rPr>
          <w:rFonts w:ascii="Times New Roman" w:hAnsi="Times New Roman"/>
          <w:sz w:val="24"/>
          <w:szCs w:val="24"/>
        </w:rPr>
        <w:t xml:space="preserve">” </w:t>
      </w:r>
      <w:r>
        <w:rPr>
          <w:rFonts w:ascii="Times New Roman" w:hAnsi="Times New Roman"/>
          <w:sz w:val="24"/>
          <w:szCs w:val="24"/>
        </w:rPr>
        <w:t>hospital laboratories and only 11,149 out of 235,928 physician-office labs will be required to report.</w:t>
      </w:r>
      <w:r>
        <w:rPr>
          <w:rFonts w:ascii="Times New Roman" w:eastAsia="Times New Roman" w:hAnsi="Times New Roman" w:cs="Times New Roman"/>
          <w:sz w:val="24"/>
          <w:szCs w:val="24"/>
          <w:vertAlign w:val="superscript"/>
        </w:rPr>
        <w:footnoteReference w:id="4"/>
      </w:r>
      <w:r>
        <w:rPr>
          <w:rFonts w:ascii="Times New Roman" w:hAnsi="Times New Roman"/>
          <w:sz w:val="24"/>
          <w:szCs w:val="24"/>
        </w:rPr>
        <w:t xml:space="preserve"> </w:t>
      </w:r>
    </w:p>
    <w:p w14:paraId="519A06F4" w14:textId="77777777" w:rsidR="00583A54" w:rsidRDefault="00583A54">
      <w:pPr>
        <w:pStyle w:val="Body"/>
        <w:rPr>
          <w:rFonts w:ascii="Times New Roman" w:eastAsia="Times New Roman" w:hAnsi="Times New Roman" w:cs="Times New Roman"/>
          <w:sz w:val="24"/>
          <w:szCs w:val="24"/>
        </w:rPr>
      </w:pPr>
    </w:p>
    <w:p w14:paraId="1D09B04F"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The exclusion of 95 percent of laboratories, including all hospitals operating large outreach laboratories, will negatively affect the integrity of rate calculations under PAMA. The implications are immense and may lead to laboratories closing across the c</w:t>
      </w:r>
      <w:r>
        <w:rPr>
          <w:rFonts w:ascii="Times New Roman" w:hAnsi="Times New Roman"/>
          <w:sz w:val="24"/>
          <w:szCs w:val="24"/>
        </w:rPr>
        <w:t xml:space="preserve">ountry, especially in rural and underserved areas, ultimately limiting Medicare beneficiary access to laboratory test services that support patient clinical care management. </w:t>
      </w:r>
    </w:p>
    <w:p w14:paraId="17BD8F3C" w14:textId="77777777" w:rsidR="00583A54" w:rsidRDefault="00583A54">
      <w:pPr>
        <w:pStyle w:val="Body"/>
        <w:rPr>
          <w:rFonts w:ascii="Times New Roman" w:eastAsia="Times New Roman" w:hAnsi="Times New Roman" w:cs="Times New Roman"/>
          <w:sz w:val="24"/>
          <w:szCs w:val="24"/>
        </w:rPr>
      </w:pPr>
    </w:p>
    <w:p w14:paraId="5E2C9DAD"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 xml:space="preserve">We support fixing the applicable laboratory definition to reflect congressional </w:t>
      </w:r>
      <w:r>
        <w:rPr>
          <w:rFonts w:ascii="Times New Roman" w:hAnsi="Times New Roman"/>
          <w:sz w:val="24"/>
          <w:szCs w:val="24"/>
        </w:rPr>
        <w:t xml:space="preserve">intent by capturing data from all sectors of the laboratory market, including independent clinical laboratories, physician office laboratories, and hospital outreach laboratories. </w:t>
      </w:r>
    </w:p>
    <w:p w14:paraId="70A9EE7B" w14:textId="77777777" w:rsidR="00583A54" w:rsidRDefault="00583A54">
      <w:pPr>
        <w:pStyle w:val="Body"/>
        <w:rPr>
          <w:rFonts w:ascii="Times New Roman" w:eastAsia="Times New Roman" w:hAnsi="Times New Roman" w:cs="Times New Roman"/>
          <w:sz w:val="24"/>
          <w:szCs w:val="24"/>
        </w:rPr>
      </w:pPr>
    </w:p>
    <w:p w14:paraId="422ECF75" w14:textId="77777777" w:rsidR="00583A54" w:rsidRDefault="00583A54">
      <w:pPr>
        <w:pStyle w:val="Body"/>
        <w:rPr>
          <w:rFonts w:ascii="Times New Roman" w:eastAsia="Times New Roman" w:hAnsi="Times New Roman" w:cs="Times New Roman"/>
          <w:sz w:val="24"/>
          <w:szCs w:val="24"/>
        </w:rPr>
      </w:pPr>
    </w:p>
    <w:p w14:paraId="18D98F34" w14:textId="77777777" w:rsidR="00583A54" w:rsidRDefault="00654B98">
      <w:pPr>
        <w:pStyle w:val="Default"/>
        <w:numPr>
          <w:ilvl w:val="0"/>
          <w:numId w:val="2"/>
        </w:numPr>
        <w:rPr>
          <w:b/>
          <w:bCs/>
        </w:rPr>
      </w:pPr>
      <w:bookmarkStart w:id="1" w:name="_Hlk482953965"/>
      <w:r>
        <w:rPr>
          <w:b/>
          <w:bCs/>
        </w:rPr>
        <w:t xml:space="preserve">ACLA supports accurately pricing new clinical laboratory tests through a </w:t>
      </w:r>
      <w:r>
        <w:rPr>
          <w:b/>
          <w:bCs/>
        </w:rPr>
        <w:t>multi-stakeholder supported and transparent rate-setting methodology.</w:t>
      </w:r>
    </w:p>
    <w:p w14:paraId="6D576D3E" w14:textId="77777777" w:rsidR="00583A54" w:rsidRDefault="00583A54">
      <w:pPr>
        <w:pStyle w:val="Body"/>
        <w:rPr>
          <w:rFonts w:ascii="Times New Roman" w:eastAsia="Times New Roman" w:hAnsi="Times New Roman" w:cs="Times New Roman"/>
          <w:b/>
          <w:bCs/>
          <w:sz w:val="24"/>
          <w:szCs w:val="24"/>
        </w:rPr>
      </w:pPr>
    </w:p>
    <w:p w14:paraId="4E06DBEF"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New clinical laboratory tests are initially priced by CMS using one of two methodologies. The first is cross-walking, where the reimbursement rate assigned to the new test is priced rel</w:t>
      </w:r>
      <w:r>
        <w:rPr>
          <w:rFonts w:ascii="Times New Roman" w:hAnsi="Times New Roman"/>
          <w:sz w:val="24"/>
          <w:szCs w:val="24"/>
        </w:rPr>
        <w:t>ative to a similar, existing CLFS test. The second methodology is gap-filling, where a Medicare Administrative Contractor (MAC) is asked to recommend a rate for a new test because there is not a similar, existing CLFS test. Whether new tests are cross-walk</w:t>
      </w:r>
      <w:r>
        <w:rPr>
          <w:rFonts w:ascii="Times New Roman" w:hAnsi="Times New Roman"/>
          <w:sz w:val="24"/>
          <w:szCs w:val="24"/>
        </w:rPr>
        <w:t>ed or gap-filled, in too many instances, especially for innovative, cutting-edge tests, CMS develops these prices in an opaque process that cannot be replicated by outside experts.</w:t>
      </w:r>
    </w:p>
    <w:p w14:paraId="783035C4" w14:textId="77777777" w:rsidR="00583A54" w:rsidRDefault="00583A54">
      <w:pPr>
        <w:pStyle w:val="Body"/>
        <w:rPr>
          <w:rFonts w:ascii="Times New Roman" w:eastAsia="Times New Roman" w:hAnsi="Times New Roman" w:cs="Times New Roman"/>
          <w:sz w:val="24"/>
          <w:szCs w:val="24"/>
        </w:rPr>
      </w:pPr>
    </w:p>
    <w:p w14:paraId="6C8B8727"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 xml:space="preserve">Because there is a lack of transparency, we cannot confirm why the prices </w:t>
      </w:r>
      <w:r>
        <w:rPr>
          <w:rFonts w:ascii="Times New Roman" w:hAnsi="Times New Roman"/>
          <w:sz w:val="24"/>
          <w:szCs w:val="24"/>
        </w:rPr>
        <w:t>are incorrect, but one likely factor is that CMS fails to account for the resources required to develop, maintain, and perform these types of innovative tests. Clinical laboratories depend on fair reimbursement rates for new tests, and if Medicare cannot a</w:t>
      </w:r>
      <w:r>
        <w:rPr>
          <w:rFonts w:ascii="Times New Roman" w:hAnsi="Times New Roman"/>
          <w:sz w:val="24"/>
          <w:szCs w:val="24"/>
        </w:rPr>
        <w:t>ccurately value these tests, beneficiaries</w:t>
      </w:r>
      <w:r>
        <w:rPr>
          <w:rFonts w:ascii="Times New Roman" w:hAnsi="Times New Roman"/>
          <w:sz w:val="24"/>
          <w:szCs w:val="24"/>
        </w:rPr>
        <w:t>’</w:t>
      </w:r>
      <w:r>
        <w:rPr>
          <w:rFonts w:ascii="Times New Roman" w:hAnsi="Times New Roman"/>
          <w:sz w:val="24"/>
          <w:szCs w:val="24"/>
        </w:rPr>
        <w:t xml:space="preserve"> access to these tests may suffer.  </w:t>
      </w:r>
    </w:p>
    <w:p w14:paraId="3FCCD330" w14:textId="77777777" w:rsidR="00583A54" w:rsidRDefault="00583A54">
      <w:pPr>
        <w:pStyle w:val="Default"/>
        <w:rPr>
          <w:b/>
          <w:bCs/>
        </w:rPr>
      </w:pPr>
    </w:p>
    <w:p w14:paraId="2FCEA132"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lastRenderedPageBreak/>
        <w:t>CMS should revisit how the cross-walk and gap-fill rates are being established for new clinical laboratory tests and adopt the recommendations from multiple stakeholders to us</w:t>
      </w:r>
      <w:r>
        <w:rPr>
          <w:rFonts w:ascii="Times New Roman" w:hAnsi="Times New Roman"/>
          <w:sz w:val="24"/>
          <w:szCs w:val="24"/>
        </w:rPr>
        <w:t>e a rate-setting methodology that is transparent and accounts for the variations in resource use.</w:t>
      </w:r>
      <w:bookmarkEnd w:id="1"/>
    </w:p>
    <w:p w14:paraId="250ABCF4" w14:textId="77777777" w:rsidR="00583A54" w:rsidRDefault="00583A54">
      <w:pPr>
        <w:pStyle w:val="Body"/>
        <w:rPr>
          <w:rFonts w:ascii="Times New Roman" w:eastAsia="Times New Roman" w:hAnsi="Times New Roman" w:cs="Times New Roman"/>
          <w:sz w:val="24"/>
          <w:szCs w:val="24"/>
        </w:rPr>
      </w:pPr>
    </w:p>
    <w:p w14:paraId="27FFA28D" w14:textId="77777777" w:rsidR="00583A54" w:rsidRDefault="00654B98">
      <w:pPr>
        <w:pStyle w:val="Default"/>
        <w:numPr>
          <w:ilvl w:val="0"/>
          <w:numId w:val="2"/>
        </w:numPr>
        <w:rPr>
          <w:b/>
          <w:bCs/>
        </w:rPr>
      </w:pPr>
      <w:bookmarkStart w:id="2" w:name="_Hlk483994600"/>
      <w:r>
        <w:rPr>
          <w:b/>
          <w:bCs/>
        </w:rPr>
        <w:t xml:space="preserve">ACLA urges CMS to clarify the medical documentation required to demonstrate physician intent of laboratory orders.  </w:t>
      </w:r>
    </w:p>
    <w:p w14:paraId="150BC0C2" w14:textId="77777777" w:rsidR="00583A54" w:rsidRDefault="00583A54">
      <w:pPr>
        <w:pStyle w:val="Default"/>
      </w:pPr>
    </w:p>
    <w:p w14:paraId="7EEE9B87" w14:textId="77777777" w:rsidR="00583A54" w:rsidRDefault="00654B98">
      <w:pPr>
        <w:pStyle w:val="Default"/>
      </w:pPr>
      <w:r>
        <w:t>Due to unclear documentation requiremen</w:t>
      </w:r>
      <w:r>
        <w:t>ts for laboratory orders, MACs and Comprehensive Error Rate Testing (CERT) contractors are withholding payments to clinical laboratories. ACLA believes medical records currently capture sufficient supporting documentation to support physician intent, inclu</w:t>
      </w:r>
      <w:r>
        <w:t>ding: the patient encounter, a physician bill, a progress note in the patient’s medical record, and signs, symptoms, and reasons for ordering tests. Even with this documentation, many CERT contractors insist on a physician signature, even though Medicare r</w:t>
      </w:r>
      <w:r>
        <w:t>egulations do not require a physician to sign the laboratory requisition.</w:t>
      </w:r>
      <w:r>
        <w:rPr>
          <w:rStyle w:val="FootnoteReference"/>
          <w:rFonts w:eastAsia="Times New Roman" w:cs="Times New Roman"/>
        </w:rPr>
        <w:footnoteReference w:id="5"/>
      </w:r>
      <w:r>
        <w:t xml:space="preserve"> In other instances, CERT contractors impose unrealistic standards when determining whether the physician “intended to order the test.” The lack of clear rules leads to contractors i</w:t>
      </w:r>
      <w:r>
        <w:t>mposing varying and arbitrary physician intent standards for laboratory orders.</w:t>
      </w:r>
    </w:p>
    <w:p w14:paraId="22D18E12" w14:textId="77777777" w:rsidR="00583A54" w:rsidRDefault="00583A54">
      <w:pPr>
        <w:pStyle w:val="Body"/>
        <w:rPr>
          <w:rFonts w:ascii="Times New Roman" w:eastAsia="Times New Roman" w:hAnsi="Times New Roman" w:cs="Times New Roman"/>
          <w:sz w:val="24"/>
          <w:szCs w:val="24"/>
        </w:rPr>
      </w:pPr>
    </w:p>
    <w:p w14:paraId="5C43FE1D"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ACLA urges CMS to issue directions to all parties, including CERT contractors, to clarify what the requirements are in an audit of laboratory claims. We believe such standards</w:t>
      </w:r>
      <w:r>
        <w:rPr>
          <w:rFonts w:ascii="Times New Roman" w:hAnsi="Times New Roman"/>
          <w:sz w:val="24"/>
          <w:szCs w:val="24"/>
        </w:rPr>
        <w:t xml:space="preserve"> should reflect the way that physicians document their interactions with and treatment of patients, acknowledging that clinical laboratories do not have influence over physician record keeping. </w:t>
      </w:r>
      <w:bookmarkEnd w:id="2"/>
    </w:p>
    <w:p w14:paraId="37787381" w14:textId="77777777" w:rsidR="00583A54" w:rsidRDefault="00583A54">
      <w:pPr>
        <w:pStyle w:val="Body"/>
        <w:rPr>
          <w:rFonts w:ascii="Times New Roman" w:eastAsia="Times New Roman" w:hAnsi="Times New Roman" w:cs="Times New Roman"/>
          <w:sz w:val="24"/>
          <w:szCs w:val="24"/>
        </w:rPr>
      </w:pPr>
    </w:p>
    <w:p w14:paraId="22F3F4F5" w14:textId="77777777" w:rsidR="00583A54" w:rsidRDefault="00583A54">
      <w:pPr>
        <w:pStyle w:val="Body"/>
        <w:rPr>
          <w:rFonts w:ascii="Times New Roman" w:eastAsia="Times New Roman" w:hAnsi="Times New Roman" w:cs="Times New Roman"/>
          <w:sz w:val="24"/>
          <w:szCs w:val="24"/>
        </w:rPr>
      </w:pPr>
    </w:p>
    <w:p w14:paraId="04090D5C" w14:textId="77777777" w:rsidR="00583A54" w:rsidRDefault="00654B98">
      <w:pPr>
        <w:pStyle w:val="ListParagraph"/>
        <w:numPr>
          <w:ilvl w:val="0"/>
          <w:numId w:val="2"/>
        </w:numPr>
        <w:rPr>
          <w:rFonts w:ascii="Times New Roman" w:eastAsia="Times New Roman" w:hAnsi="Times New Roman" w:cs="Times New Roman"/>
          <w:b/>
          <w:bCs/>
          <w:sz w:val="24"/>
          <w:szCs w:val="24"/>
        </w:rPr>
      </w:pPr>
      <w:r>
        <w:rPr>
          <w:rFonts w:ascii="Times New Roman" w:hAnsi="Times New Roman"/>
          <w:b/>
          <w:bCs/>
          <w:sz w:val="24"/>
          <w:szCs w:val="24"/>
        </w:rPr>
        <w:t>ACLA supports ending date of service requirements for clini</w:t>
      </w:r>
      <w:r>
        <w:rPr>
          <w:rFonts w:ascii="Times New Roman" w:hAnsi="Times New Roman"/>
          <w:b/>
          <w:bCs/>
          <w:sz w:val="24"/>
          <w:szCs w:val="24"/>
        </w:rPr>
        <w:t>cal laboratory tests for Medicare beneficiaries who have been recently discharged from the hospital.</w:t>
      </w:r>
    </w:p>
    <w:p w14:paraId="6A52384B"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Current Medicare rules provide that if a laboratory test is performed by a clinical laboratory on a patient</w:t>
      </w:r>
      <w:r>
        <w:rPr>
          <w:rFonts w:ascii="Times New Roman" w:hAnsi="Times New Roman"/>
          <w:sz w:val="24"/>
          <w:szCs w:val="24"/>
        </w:rPr>
        <w:t>’</w:t>
      </w:r>
      <w:r>
        <w:rPr>
          <w:rFonts w:ascii="Times New Roman" w:hAnsi="Times New Roman"/>
          <w:sz w:val="24"/>
          <w:szCs w:val="24"/>
        </w:rPr>
        <w:t>s specimen that was collected while in the hosp</w:t>
      </w:r>
      <w:r>
        <w:rPr>
          <w:rFonts w:ascii="Times New Roman" w:hAnsi="Times New Roman"/>
          <w:sz w:val="24"/>
          <w:szCs w:val="24"/>
        </w:rPr>
        <w:t>ital, as an inpatient or outpatient, the laboratory performing the test must bill the hospital for the service, rather than bill Medicare directly, even though the test is performed after the patient leaves the hospital. The one exception to the rule is if</w:t>
      </w:r>
      <w:r>
        <w:rPr>
          <w:rFonts w:ascii="Times New Roman" w:hAnsi="Times New Roman"/>
          <w:sz w:val="24"/>
          <w:szCs w:val="24"/>
        </w:rPr>
        <w:t xml:space="preserve"> the test is ordered at least 14 days after the patient</w:t>
      </w:r>
      <w:r>
        <w:rPr>
          <w:rFonts w:ascii="Times New Roman" w:hAnsi="Times New Roman"/>
          <w:sz w:val="24"/>
          <w:szCs w:val="24"/>
        </w:rPr>
        <w:t>’</w:t>
      </w:r>
      <w:r>
        <w:rPr>
          <w:rFonts w:ascii="Times New Roman" w:hAnsi="Times New Roman"/>
          <w:sz w:val="24"/>
          <w:szCs w:val="24"/>
          <w:lang w:val="de-DE"/>
        </w:rPr>
        <w:t xml:space="preserve">s </w:t>
      </w:r>
      <w:proofErr w:type="spellStart"/>
      <w:r>
        <w:rPr>
          <w:rFonts w:ascii="Times New Roman" w:hAnsi="Times New Roman"/>
          <w:sz w:val="24"/>
          <w:szCs w:val="24"/>
          <w:lang w:val="de-DE"/>
        </w:rPr>
        <w:t>discharge</w:t>
      </w:r>
      <w:proofErr w:type="spellEnd"/>
      <w:r>
        <w:rPr>
          <w:rFonts w:ascii="Times New Roman" w:hAnsi="Times New Roman"/>
          <w:sz w:val="24"/>
          <w:szCs w:val="24"/>
          <w:lang w:val="de-DE"/>
        </w:rPr>
        <w:t>.</w:t>
      </w:r>
    </w:p>
    <w:p w14:paraId="6F468616" w14:textId="77777777" w:rsidR="00583A54" w:rsidRDefault="00583A54">
      <w:pPr>
        <w:pStyle w:val="Body"/>
        <w:rPr>
          <w:rFonts w:ascii="Times New Roman" w:eastAsia="Times New Roman" w:hAnsi="Times New Roman" w:cs="Times New Roman"/>
          <w:sz w:val="24"/>
          <w:szCs w:val="24"/>
        </w:rPr>
      </w:pPr>
    </w:p>
    <w:p w14:paraId="7F92E8F5"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Since this type of testing is typically performed to determine the course of treatment following hospitalization, the hospital does not believe it should be responsible for paying the laboratory for a test the hospital neither ordered nor performed and whi</w:t>
      </w:r>
      <w:r>
        <w:rPr>
          <w:rFonts w:ascii="Times New Roman" w:hAnsi="Times New Roman"/>
          <w:sz w:val="24"/>
          <w:szCs w:val="24"/>
        </w:rPr>
        <w:t xml:space="preserve">ch was performed after the hospital stay. </w:t>
      </w:r>
    </w:p>
    <w:p w14:paraId="41FFFFA8" w14:textId="77777777" w:rsidR="00583A54" w:rsidRDefault="00583A54">
      <w:pPr>
        <w:pStyle w:val="Body"/>
        <w:rPr>
          <w:rFonts w:ascii="Times New Roman" w:eastAsia="Times New Roman" w:hAnsi="Times New Roman" w:cs="Times New Roman"/>
          <w:sz w:val="24"/>
          <w:szCs w:val="24"/>
        </w:rPr>
      </w:pPr>
    </w:p>
    <w:p w14:paraId="14FFA53A"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While Medicare assumes that the hospital will pay the laboratory for the service then bill Medicare, clinical laboratories performing this testing have found that hospitals have little incentive to take on the re</w:t>
      </w:r>
      <w:r>
        <w:rPr>
          <w:rFonts w:ascii="Times New Roman" w:hAnsi="Times New Roman"/>
          <w:sz w:val="24"/>
          <w:szCs w:val="24"/>
        </w:rPr>
        <w:t>sponsibility for billing and paying for the laboratory service.</w:t>
      </w:r>
    </w:p>
    <w:p w14:paraId="2E7269B4" w14:textId="77777777" w:rsidR="00583A54" w:rsidRDefault="00583A54">
      <w:pPr>
        <w:pStyle w:val="Body"/>
        <w:rPr>
          <w:rFonts w:ascii="Times New Roman" w:eastAsia="Times New Roman" w:hAnsi="Times New Roman" w:cs="Times New Roman"/>
          <w:sz w:val="24"/>
          <w:szCs w:val="24"/>
        </w:rPr>
      </w:pPr>
    </w:p>
    <w:p w14:paraId="764DEABD"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If the patient was an outpatient, laboratories are finding that hospitals are no more willing to assume the responsibility of paying the laboratory and billing Medicare for a test the hospita</w:t>
      </w:r>
      <w:r>
        <w:rPr>
          <w:rFonts w:ascii="Times New Roman" w:hAnsi="Times New Roman"/>
          <w:sz w:val="24"/>
          <w:szCs w:val="24"/>
        </w:rPr>
        <w:t xml:space="preserve">l did </w:t>
      </w:r>
      <w:r>
        <w:rPr>
          <w:rFonts w:ascii="Times New Roman" w:hAnsi="Times New Roman"/>
          <w:sz w:val="24"/>
          <w:szCs w:val="24"/>
        </w:rPr>
        <w:lastRenderedPageBreak/>
        <w:t xml:space="preserve">not order and was performed after the hospital visit. Hospitals often do not know how to bill for the test, and their Medicare intermediaries may not know whether to cover the test and how much to reimburse for the test. </w:t>
      </w:r>
    </w:p>
    <w:p w14:paraId="26335863" w14:textId="77777777" w:rsidR="00583A54" w:rsidRDefault="00583A54">
      <w:pPr>
        <w:pStyle w:val="Body"/>
        <w:rPr>
          <w:rFonts w:ascii="Times New Roman" w:eastAsia="Times New Roman" w:hAnsi="Times New Roman" w:cs="Times New Roman"/>
          <w:sz w:val="24"/>
          <w:szCs w:val="24"/>
        </w:rPr>
      </w:pPr>
    </w:p>
    <w:p w14:paraId="1AD28E08"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 xml:space="preserve">Often, the only solution is for the patient to wait 14 days before ordering the test so the clinical laboratory can be assured it will be paid. Otherwise, the clinical laboratory is left to the mercy of a hospital who no longer has a relationship with the </w:t>
      </w:r>
      <w:r>
        <w:rPr>
          <w:rFonts w:ascii="Times New Roman" w:hAnsi="Times New Roman"/>
          <w:sz w:val="24"/>
          <w:szCs w:val="24"/>
        </w:rPr>
        <w:t xml:space="preserve">patient and will likely not reimburse the laboratory. CMS should allow clinical laboratories to bill Medicare directly for these laboratory tests. </w:t>
      </w:r>
    </w:p>
    <w:p w14:paraId="1A9F8800" w14:textId="77777777" w:rsidR="00583A54" w:rsidRDefault="00583A54">
      <w:pPr>
        <w:pStyle w:val="Body"/>
        <w:rPr>
          <w:rFonts w:ascii="Times New Roman" w:eastAsia="Times New Roman" w:hAnsi="Times New Roman" w:cs="Times New Roman"/>
          <w:sz w:val="24"/>
          <w:szCs w:val="24"/>
        </w:rPr>
      </w:pPr>
    </w:p>
    <w:p w14:paraId="7531193A" w14:textId="77777777" w:rsidR="00583A54" w:rsidRDefault="00583A54">
      <w:pPr>
        <w:pStyle w:val="Body"/>
        <w:rPr>
          <w:rFonts w:ascii="Times New Roman" w:eastAsia="Times New Roman" w:hAnsi="Times New Roman" w:cs="Times New Roman"/>
          <w:sz w:val="24"/>
          <w:szCs w:val="24"/>
        </w:rPr>
      </w:pPr>
    </w:p>
    <w:p w14:paraId="77A1ACDE" w14:textId="77777777" w:rsidR="00583A54" w:rsidRDefault="00654B98">
      <w:pPr>
        <w:pStyle w:val="Body"/>
        <w:rPr>
          <w:rFonts w:ascii="Times New Roman" w:eastAsia="Times New Roman" w:hAnsi="Times New Roman" w:cs="Times New Roman"/>
          <w:b/>
          <w:bCs/>
          <w:sz w:val="24"/>
          <w:szCs w:val="24"/>
        </w:rPr>
      </w:pPr>
      <w:proofErr w:type="spellStart"/>
      <w:r>
        <w:rPr>
          <w:rFonts w:ascii="Times New Roman" w:hAnsi="Times New Roman"/>
          <w:b/>
          <w:bCs/>
          <w:sz w:val="24"/>
          <w:szCs w:val="24"/>
          <w:lang w:val="it-IT"/>
        </w:rPr>
        <w:t>Conclusion</w:t>
      </w:r>
      <w:proofErr w:type="spellEnd"/>
    </w:p>
    <w:p w14:paraId="1071C8F2" w14:textId="77777777" w:rsidR="00583A54" w:rsidRDefault="00583A54">
      <w:pPr>
        <w:pStyle w:val="Body"/>
        <w:rPr>
          <w:rFonts w:ascii="Times New Roman" w:eastAsia="Times New Roman" w:hAnsi="Times New Roman" w:cs="Times New Roman"/>
          <w:sz w:val="24"/>
          <w:szCs w:val="24"/>
        </w:rPr>
      </w:pPr>
    </w:p>
    <w:p w14:paraId="7836AEF9"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ACLA appreciates the opportunity to comment on the Medicare program. If there are any question</w:t>
      </w:r>
      <w:r>
        <w:rPr>
          <w:rFonts w:ascii="Times New Roman" w:hAnsi="Times New Roman"/>
          <w:sz w:val="24"/>
          <w:szCs w:val="24"/>
        </w:rPr>
        <w:t xml:space="preserve">s regarding the above policy proposals, please do not hesitate to contact us by phone at (202) 637-9466 or email at </w:t>
      </w:r>
      <w:hyperlink r:id="rId7" w:history="1">
        <w:r>
          <w:rPr>
            <w:rStyle w:val="Hyperlink1"/>
            <w:rFonts w:eastAsia="Calibri"/>
          </w:rPr>
          <w:t>dcooling@acla.com</w:t>
        </w:r>
      </w:hyperlink>
      <w:r>
        <w:rPr>
          <w:rFonts w:ascii="Times New Roman" w:hAnsi="Times New Roman"/>
          <w:sz w:val="24"/>
          <w:szCs w:val="24"/>
        </w:rPr>
        <w:t xml:space="preserve">.  </w:t>
      </w:r>
    </w:p>
    <w:p w14:paraId="64E37619" w14:textId="77777777" w:rsidR="00583A54" w:rsidRDefault="00583A54">
      <w:pPr>
        <w:pStyle w:val="Body"/>
        <w:rPr>
          <w:rFonts w:ascii="Times New Roman" w:eastAsia="Times New Roman" w:hAnsi="Times New Roman" w:cs="Times New Roman"/>
          <w:sz w:val="24"/>
          <w:szCs w:val="24"/>
        </w:rPr>
      </w:pPr>
    </w:p>
    <w:p w14:paraId="05368FCD" w14:textId="77777777" w:rsidR="00583A54" w:rsidRDefault="00583A54">
      <w:pPr>
        <w:pStyle w:val="Body"/>
        <w:rPr>
          <w:rFonts w:ascii="Times New Roman" w:eastAsia="Times New Roman" w:hAnsi="Times New Roman" w:cs="Times New Roman"/>
          <w:sz w:val="24"/>
          <w:szCs w:val="24"/>
        </w:rPr>
      </w:pPr>
    </w:p>
    <w:p w14:paraId="19376279"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rPr>
        <w:t>Sincerely,</w:t>
      </w:r>
    </w:p>
    <w:p w14:paraId="7CC97BDE" w14:textId="77777777" w:rsidR="00583A54" w:rsidRDefault="00583A54">
      <w:pPr>
        <w:pStyle w:val="Body"/>
        <w:rPr>
          <w:rFonts w:ascii="Times New Roman" w:eastAsia="Times New Roman" w:hAnsi="Times New Roman" w:cs="Times New Roman"/>
          <w:sz w:val="24"/>
          <w:szCs w:val="24"/>
        </w:rPr>
      </w:pPr>
    </w:p>
    <w:p w14:paraId="58A1F187" w14:textId="77777777" w:rsidR="00583A54" w:rsidRDefault="00654B98">
      <w:pPr>
        <w:pStyle w:val="Body"/>
        <w:rPr>
          <w:rFonts w:ascii="Times New Roman" w:eastAsia="Times New Roman" w:hAnsi="Times New Roman" w:cs="Times New Roman"/>
          <w:sz w:val="24"/>
          <w:szCs w:val="24"/>
        </w:rPr>
      </w:pPr>
      <w:r>
        <w:rPr>
          <w:noProof/>
        </w:rPr>
        <w:drawing>
          <wp:inline distT="0" distB="0" distL="0" distR="0" wp14:anchorId="306F053D" wp14:editId="2E28B3BA">
            <wp:extent cx="1125659" cy="647700"/>
            <wp:effectExtent l="0" t="0" r="0" b="0"/>
            <wp:docPr id="1073741826" name="officeArt object" descr="C:\Users\David Cooling\AppData\Local\Microsoft\Windows\INetCache\Content.Word\Julie signature.jpg"/>
            <wp:cNvGraphicFramePr/>
            <a:graphic xmlns:a="http://schemas.openxmlformats.org/drawingml/2006/main">
              <a:graphicData uri="http://schemas.openxmlformats.org/drawingml/2006/picture">
                <pic:pic xmlns:pic="http://schemas.openxmlformats.org/drawingml/2006/picture">
                  <pic:nvPicPr>
                    <pic:cNvPr id="1073741826" name="C:\Users\David Cooling\AppData\Local\Microsoft\Windows\INetCache\Content.Word\Julie signature.jpg" descr="C:\Users\David Cooling\AppData\Local\Microsoft\Windows\INetCache\Content.Word\Julie signature.jpg"/>
                    <pic:cNvPicPr>
                      <a:picLocks noChangeAspect="1"/>
                    </pic:cNvPicPr>
                  </pic:nvPicPr>
                  <pic:blipFill>
                    <a:blip r:embed="rId8">
                      <a:extLst/>
                    </a:blip>
                    <a:stretch>
                      <a:fillRect/>
                    </a:stretch>
                  </pic:blipFill>
                  <pic:spPr>
                    <a:xfrm>
                      <a:off x="0" y="0"/>
                      <a:ext cx="1125659" cy="647700"/>
                    </a:xfrm>
                    <a:prstGeom prst="rect">
                      <a:avLst/>
                    </a:prstGeom>
                    <a:ln w="12700" cap="flat">
                      <a:noFill/>
                      <a:miter lim="400000"/>
                    </a:ln>
                    <a:effectLst/>
                  </pic:spPr>
                </pic:pic>
              </a:graphicData>
            </a:graphic>
          </wp:inline>
        </w:drawing>
      </w:r>
    </w:p>
    <w:p w14:paraId="57BBA7E0" w14:textId="77777777" w:rsidR="00583A54" w:rsidRDefault="00583A54">
      <w:pPr>
        <w:pStyle w:val="Body"/>
        <w:rPr>
          <w:rFonts w:ascii="Times New Roman" w:eastAsia="Times New Roman" w:hAnsi="Times New Roman" w:cs="Times New Roman"/>
          <w:sz w:val="24"/>
          <w:szCs w:val="24"/>
        </w:rPr>
      </w:pPr>
    </w:p>
    <w:p w14:paraId="5524226D" w14:textId="77777777" w:rsidR="00583A54" w:rsidRDefault="00654B98">
      <w:pPr>
        <w:pStyle w:val="Body"/>
        <w:rPr>
          <w:rFonts w:ascii="Times New Roman" w:eastAsia="Times New Roman" w:hAnsi="Times New Roman" w:cs="Times New Roman"/>
          <w:sz w:val="24"/>
          <w:szCs w:val="24"/>
        </w:rPr>
      </w:pPr>
      <w:r>
        <w:rPr>
          <w:rFonts w:ascii="Times New Roman" w:hAnsi="Times New Roman"/>
          <w:sz w:val="24"/>
          <w:szCs w:val="24"/>
          <w:lang w:val="da-DK"/>
        </w:rPr>
        <w:t xml:space="preserve">Julie </w:t>
      </w:r>
      <w:proofErr w:type="spellStart"/>
      <w:r>
        <w:rPr>
          <w:rFonts w:ascii="Times New Roman" w:hAnsi="Times New Roman"/>
          <w:sz w:val="24"/>
          <w:szCs w:val="24"/>
          <w:lang w:val="da-DK"/>
        </w:rPr>
        <w:t>Khani</w:t>
      </w:r>
      <w:proofErr w:type="spellEnd"/>
    </w:p>
    <w:p w14:paraId="66499892" w14:textId="77777777" w:rsidR="00583A54" w:rsidRDefault="00654B98">
      <w:pPr>
        <w:pStyle w:val="Body"/>
      </w:pPr>
      <w:proofErr w:type="spellStart"/>
      <w:r>
        <w:rPr>
          <w:rFonts w:ascii="Times New Roman" w:hAnsi="Times New Roman"/>
          <w:sz w:val="24"/>
          <w:szCs w:val="24"/>
          <w:lang w:val="it-IT"/>
        </w:rPr>
        <w:t>President</w:t>
      </w:r>
      <w:proofErr w:type="spellEnd"/>
    </w:p>
    <w:sectPr w:rsidR="00583A5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F7345" w14:textId="77777777" w:rsidR="00654B98" w:rsidRDefault="00654B98">
      <w:r>
        <w:separator/>
      </w:r>
    </w:p>
  </w:endnote>
  <w:endnote w:type="continuationSeparator" w:id="0">
    <w:p w14:paraId="2D741B0B" w14:textId="77777777" w:rsidR="00654B98" w:rsidRDefault="0065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155B" w14:textId="77777777" w:rsidR="00583A54" w:rsidRDefault="00583A54">
    <w:pPr>
      <w:pStyle w:val="Header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847EB" w14:textId="77777777" w:rsidR="00583A54" w:rsidRDefault="00654B98">
    <w:pPr>
      <w:pStyle w:val="Footer"/>
      <w:tabs>
        <w:tab w:val="clear" w:pos="9360"/>
        <w:tab w:val="right" w:pos="9340"/>
      </w:tabs>
      <w:rPr>
        <w:rFonts w:ascii="Book Antiqua" w:eastAsia="Book Antiqua" w:hAnsi="Book Antiqua" w:cs="Book Antiqua"/>
        <w:color w:val="0070C0"/>
        <w:u w:color="0070C0"/>
      </w:rPr>
    </w:pPr>
    <w:r>
      <w:rPr>
        <w:rFonts w:ascii="Book Antiqua" w:hAnsi="Book Antiqua"/>
        <w:color w:val="0070C0"/>
        <w:u w:color="0070C0"/>
      </w:rPr>
      <w:t xml:space="preserve">1100 New York Avenue, N.W. </w:t>
    </w:r>
    <w:r>
      <w:rPr>
        <w:rFonts w:ascii="Book Antiqua" w:hAnsi="Book Antiqua"/>
        <w:color w:val="BFBFBF"/>
        <w:u w:color="BFBFBF"/>
      </w:rPr>
      <w:t>●</w:t>
    </w:r>
    <w:r>
      <w:rPr>
        <w:rFonts w:ascii="Book Antiqua" w:hAnsi="Book Antiqua"/>
        <w:color w:val="0070C0"/>
        <w:u w:color="0070C0"/>
      </w:rPr>
      <w:t xml:space="preserve"> Suite 725 West </w:t>
    </w:r>
    <w:r>
      <w:rPr>
        <w:rFonts w:ascii="Book Antiqua" w:hAnsi="Book Antiqua"/>
        <w:color w:val="BFBFBF"/>
        <w:u w:color="BFBFBF"/>
      </w:rPr>
      <w:t>●</w:t>
    </w:r>
    <w:r>
      <w:rPr>
        <w:rFonts w:ascii="Book Antiqua" w:hAnsi="Book Antiqua"/>
        <w:color w:val="0070C0"/>
        <w:u w:color="0070C0"/>
      </w:rPr>
      <w:t xml:space="preserve"> Washington, DC 20005 </w:t>
    </w:r>
    <w:r>
      <w:rPr>
        <w:rFonts w:ascii="Book Antiqua" w:hAnsi="Book Antiqua"/>
        <w:color w:val="BFBFBF"/>
        <w:u w:color="BFBFBF"/>
      </w:rPr>
      <w:t>●</w:t>
    </w:r>
    <w:r>
      <w:rPr>
        <w:rFonts w:ascii="Book Antiqua" w:hAnsi="Book Antiqua"/>
        <w:color w:val="0070C0"/>
        <w:u w:color="0070C0"/>
      </w:rPr>
      <w:t xml:space="preserve"> (202)-637-9466 </w:t>
    </w:r>
    <w:r>
      <w:rPr>
        <w:rFonts w:ascii="Book Antiqua" w:hAnsi="Book Antiqua"/>
        <w:color w:val="BFBFBF"/>
        <w:u w:color="BFBFBF"/>
      </w:rPr>
      <w:t>●</w:t>
    </w:r>
    <w:r>
      <w:rPr>
        <w:rFonts w:ascii="Book Antiqua" w:hAnsi="Book Antiqua"/>
        <w:color w:val="0070C0"/>
        <w:u w:color="0070C0"/>
      </w:rPr>
      <w:t xml:space="preserve"> Fax: (202)637-2050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AFE95" w14:textId="77777777" w:rsidR="00654B98" w:rsidRDefault="00654B98">
      <w:r>
        <w:separator/>
      </w:r>
    </w:p>
  </w:footnote>
  <w:footnote w:type="continuationSeparator" w:id="0">
    <w:p w14:paraId="2AE0636A" w14:textId="77777777" w:rsidR="00654B98" w:rsidRDefault="00654B98">
      <w:r>
        <w:continuationSeparator/>
      </w:r>
    </w:p>
  </w:footnote>
  <w:footnote w:type="continuationNotice" w:id="1">
    <w:p w14:paraId="65FF8E4C" w14:textId="77777777" w:rsidR="00654B98" w:rsidRDefault="00654B98"/>
  </w:footnote>
  <w:footnote w:id="2">
    <w:p w14:paraId="35055A8A" w14:textId="77777777" w:rsidR="00583A54" w:rsidRDefault="00654B98">
      <w:pPr>
        <w:pStyle w:val="FootnoteText"/>
      </w:pPr>
      <w:r>
        <w:rPr>
          <w:rFonts w:ascii="Times New Roman" w:eastAsia="Times New Roman" w:hAnsi="Times New Roman" w:cs="Times New Roman"/>
          <w:sz w:val="24"/>
          <w:szCs w:val="24"/>
          <w:vertAlign w:val="superscript"/>
        </w:rPr>
        <w:footnoteRef/>
      </w:r>
      <w:r>
        <w:rPr>
          <w:rFonts w:ascii="Times New Roman" w:hAnsi="Times New Roman"/>
          <w:sz w:val="16"/>
          <w:szCs w:val="16"/>
        </w:rPr>
        <w:t xml:space="preserve"> ACLA press release, April 1, 2014, </w:t>
      </w:r>
      <w:r>
        <w:rPr>
          <w:rFonts w:ascii="Times New Roman" w:hAnsi="Times New Roman"/>
          <w:sz w:val="16"/>
          <w:szCs w:val="16"/>
        </w:rPr>
        <w:t>“</w:t>
      </w:r>
      <w:r>
        <w:rPr>
          <w:rFonts w:ascii="Times New Roman" w:hAnsi="Times New Roman"/>
          <w:sz w:val="16"/>
          <w:szCs w:val="16"/>
        </w:rPr>
        <w:t xml:space="preserve">American Clinical Laboratory Association Supports Senate Passage of </w:t>
      </w:r>
      <w:r>
        <w:rPr>
          <w:rFonts w:ascii="Times New Roman" w:hAnsi="Times New Roman"/>
          <w:sz w:val="16"/>
          <w:szCs w:val="16"/>
        </w:rPr>
        <w:t>Provisions for Clinical Laboratory Fee Schedule in SGR Extension Legislation.</w:t>
      </w:r>
      <w:r>
        <w:rPr>
          <w:rFonts w:ascii="Times New Roman" w:hAnsi="Times New Roman"/>
          <w:sz w:val="16"/>
          <w:szCs w:val="16"/>
        </w:rPr>
        <w:t>”</w:t>
      </w:r>
    </w:p>
  </w:footnote>
  <w:footnote w:id="3">
    <w:p w14:paraId="296F1E06" w14:textId="77777777" w:rsidR="00583A54" w:rsidRDefault="00654B98">
      <w:pPr>
        <w:pStyle w:val="FootnoteText"/>
      </w:pPr>
      <w:r>
        <w:rPr>
          <w:rFonts w:ascii="Times New Roman" w:eastAsia="Times New Roman" w:hAnsi="Times New Roman" w:cs="Times New Roman"/>
          <w:sz w:val="24"/>
          <w:szCs w:val="24"/>
          <w:vertAlign w:val="superscript"/>
        </w:rPr>
        <w:footnoteRef/>
      </w:r>
      <w:r>
        <w:rPr>
          <w:rFonts w:ascii="Times New Roman" w:hAnsi="Times New Roman"/>
          <w:sz w:val="16"/>
          <w:szCs w:val="16"/>
        </w:rPr>
        <w:t xml:space="preserve"> Senators Orrin Hatch and Richard Burr</w:t>
      </w:r>
      <w:r>
        <w:rPr>
          <w:rFonts w:ascii="Times New Roman" w:hAnsi="Times New Roman"/>
          <w:sz w:val="16"/>
          <w:szCs w:val="16"/>
        </w:rPr>
        <w:t>’</w:t>
      </w:r>
      <w:r>
        <w:rPr>
          <w:rFonts w:ascii="Times New Roman" w:hAnsi="Times New Roman"/>
          <w:sz w:val="16"/>
          <w:szCs w:val="16"/>
        </w:rPr>
        <w:t xml:space="preserve">s Colloquy, Congressional Record from May 8, 2014: </w:t>
      </w:r>
      <w:r>
        <w:rPr>
          <w:rStyle w:val="Link"/>
          <w:rFonts w:ascii="Times New Roman" w:hAnsi="Times New Roman"/>
          <w:sz w:val="16"/>
          <w:szCs w:val="16"/>
        </w:rPr>
        <w:t>https:/www.congress.gov/congressional-record/2014/05/08/senate-section/article/S2860-1</w:t>
      </w:r>
      <w:r>
        <w:rPr>
          <w:rStyle w:val="Link"/>
          <w:rFonts w:ascii="Times New Roman" w:hAnsi="Times New Roman"/>
          <w:sz w:val="16"/>
          <w:szCs w:val="16"/>
        </w:rPr>
        <w:t xml:space="preserve"> </w:t>
      </w:r>
    </w:p>
  </w:footnote>
  <w:footnote w:id="4">
    <w:p w14:paraId="26DFA75F" w14:textId="77777777" w:rsidR="00583A54" w:rsidRDefault="00654B98">
      <w:pPr>
        <w:pStyle w:val="FootnoteText"/>
      </w:pPr>
      <w:r>
        <w:rPr>
          <w:rFonts w:ascii="Times New Roman" w:eastAsia="Times New Roman" w:hAnsi="Times New Roman" w:cs="Times New Roman"/>
          <w:sz w:val="24"/>
          <w:szCs w:val="24"/>
          <w:vertAlign w:val="superscript"/>
        </w:rPr>
        <w:footnoteRef/>
      </w:r>
      <w:r>
        <w:rPr>
          <w:rFonts w:ascii="Times New Roman" w:hAnsi="Times New Roman"/>
          <w:sz w:val="16"/>
          <w:szCs w:val="16"/>
        </w:rPr>
        <w:t xml:space="preserve"> HHS OIG Data Brief: Medicare Payments for Clinical Diagnostic Laboratory Tests in 2015: Year 2 of Baseline Data (OEI-09-16-00040), Sept 2016</w:t>
      </w:r>
      <w:r>
        <w:rPr>
          <w:rFonts w:ascii="Times New Roman" w:hAnsi="Times New Roman"/>
          <w:sz w:val="16"/>
          <w:szCs w:val="16"/>
          <w:u w:val="single"/>
        </w:rPr>
        <w:t xml:space="preserve">. </w:t>
      </w:r>
      <w:hyperlink r:id="rId1" w:history="1">
        <w:r>
          <w:rPr>
            <w:rStyle w:val="Hyperlink0"/>
            <w:rFonts w:eastAsia="Calibri"/>
          </w:rPr>
          <w:t>https://oig.hhs.gov/oei/reports/oei-09-16-0004</w:t>
        </w:r>
        <w:r>
          <w:rPr>
            <w:rStyle w:val="Hyperlink0"/>
            <w:rFonts w:eastAsia="Calibri"/>
          </w:rPr>
          <w:t>0.pdf</w:t>
        </w:r>
      </w:hyperlink>
      <w:r>
        <w:rPr>
          <w:rFonts w:ascii="Times New Roman" w:hAnsi="Times New Roman"/>
          <w:sz w:val="16"/>
          <w:szCs w:val="16"/>
        </w:rPr>
        <w:t>, page 7, Figure 4; page 8, Figure 5.</w:t>
      </w:r>
      <w:r>
        <w:rPr>
          <w:rFonts w:ascii="Times New Roman" w:hAnsi="Times New Roman"/>
          <w:sz w:val="24"/>
          <w:szCs w:val="24"/>
          <w:u w:val="single"/>
        </w:rPr>
        <w:t xml:space="preserve">  </w:t>
      </w:r>
    </w:p>
  </w:footnote>
  <w:footnote w:id="5">
    <w:p w14:paraId="6D249D28" w14:textId="77777777" w:rsidR="00583A54" w:rsidRDefault="00654B98">
      <w:pPr>
        <w:pStyle w:val="FootnoteText"/>
      </w:pPr>
      <w:r>
        <w:rPr>
          <w:rStyle w:val="FootnoteReference"/>
        </w:rPr>
        <w:footnoteRef/>
      </w:r>
      <w:r>
        <w:rPr>
          <w:rFonts w:ascii="Times New Roman" w:hAnsi="Times New Roman"/>
          <w:sz w:val="16"/>
          <w:szCs w:val="16"/>
        </w:rPr>
        <w:t xml:space="preserve"> The physician signature issue was the subject of significant discussion when CMS proposed to require a signature and then the next year withdrew that requirement. As result, today it is clear that </w:t>
      </w:r>
      <w:r>
        <w:rPr>
          <w:rFonts w:ascii="Times New Roman" w:hAnsi="Times New Roman"/>
          <w:sz w:val="16"/>
          <w:szCs w:val="16"/>
        </w:rPr>
        <w:t>“</w:t>
      </w:r>
      <w:r>
        <w:rPr>
          <w:rFonts w:ascii="Times New Roman" w:hAnsi="Times New Roman"/>
          <w:sz w:val="16"/>
          <w:szCs w:val="16"/>
        </w:rPr>
        <w:t>the sign</w:t>
      </w:r>
      <w:r>
        <w:rPr>
          <w:rFonts w:ascii="Times New Roman" w:hAnsi="Times New Roman"/>
          <w:sz w:val="16"/>
          <w:szCs w:val="16"/>
        </w:rPr>
        <w:t>ature of the physician or NPP is not required on a requisition for a clinical diagnostic laboratory test paid under the CLFS for Medicare purposes.</w:t>
      </w:r>
      <w:r>
        <w:rPr>
          <w:rFonts w:ascii="Times New Roman" w:hAnsi="Times New Roman"/>
          <w:sz w:val="16"/>
          <w:szCs w:val="16"/>
        </w:rPr>
        <w:t xml:space="preserve">” </w:t>
      </w:r>
      <w:r>
        <w:rPr>
          <w:rFonts w:ascii="Times New Roman" w:hAnsi="Times New Roman"/>
          <w:sz w:val="16"/>
          <w:szCs w:val="16"/>
        </w:rPr>
        <w:t xml:space="preserve">76 Fed. Reg. at 73304 (Nov. 28, 2011).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EB15" w14:textId="77777777" w:rsidR="00583A54" w:rsidRDefault="00583A54">
    <w:pPr>
      <w:pStyle w:val="Header"/>
      <w:tabs>
        <w:tab w:val="clear" w:pos="9360"/>
        <w:tab w:val="right" w:pos="9340"/>
      </w:tabs>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DBC54" w14:textId="77777777" w:rsidR="00583A54" w:rsidRDefault="00654B98">
    <w:pPr>
      <w:pStyle w:val="Header"/>
      <w:tabs>
        <w:tab w:val="clear" w:pos="9360"/>
        <w:tab w:val="right" w:pos="9340"/>
      </w:tabs>
    </w:pPr>
    <w:r>
      <w:rPr>
        <w:noProof/>
      </w:rPr>
      <w:drawing>
        <wp:anchor distT="152400" distB="152400" distL="152400" distR="152400" simplePos="0" relativeHeight="251658240" behindDoc="1" locked="0" layoutInCell="1" allowOverlap="1" wp14:anchorId="79D394CB" wp14:editId="45003BDD">
          <wp:simplePos x="0" y="0"/>
          <wp:positionH relativeFrom="page">
            <wp:posOffset>6400800</wp:posOffset>
          </wp:positionH>
          <wp:positionV relativeFrom="page">
            <wp:posOffset>457200</wp:posOffset>
          </wp:positionV>
          <wp:extent cx="841248" cy="996696"/>
          <wp:effectExtent l="0" t="0" r="0" b="0"/>
          <wp:wrapNone/>
          <wp:docPr id="1073741825" name="officeArt object" descr="C:\Users\Francesca O'Reilly\Documents\ACLA\logos\ACLA logo.jpg"/>
          <wp:cNvGraphicFramePr/>
          <a:graphic xmlns:a="http://schemas.openxmlformats.org/drawingml/2006/main">
            <a:graphicData uri="http://schemas.openxmlformats.org/drawingml/2006/picture">
              <pic:pic xmlns:pic="http://schemas.openxmlformats.org/drawingml/2006/picture">
                <pic:nvPicPr>
                  <pic:cNvPr id="1073741825" name="C:\Users\Francesca O'Reilly\Documents\ACLA\logos\ACLA logo.jpg" descr="C:\Users\Francesca O'Reilly\Documents\ACLA\logos\ACLA logo.jpg"/>
                  <pic:cNvPicPr>
                    <a:picLocks noChangeAspect="1"/>
                  </pic:cNvPicPr>
                </pic:nvPicPr>
                <pic:blipFill>
                  <a:blip r:embed="rId1">
                    <a:extLst/>
                  </a:blip>
                  <a:stretch>
                    <a:fillRect/>
                  </a:stretch>
                </pic:blipFill>
                <pic:spPr>
                  <a:xfrm>
                    <a:off x="0" y="0"/>
                    <a:ext cx="841248" cy="996696"/>
                  </a:xfrm>
                  <a:prstGeom prst="rect">
                    <a:avLst/>
                  </a:prstGeom>
                  <a:ln w="12700" cap="flat">
                    <a:noFill/>
                    <a:miter lim="400000"/>
                  </a:ln>
                  <a:effectLst/>
                </pic:spPr>
              </pic:pic>
            </a:graphicData>
          </a:graphic>
        </wp:anchor>
      </w:drawing>
    </w:r>
  </w:p>
  <w:p w14:paraId="0A7ED11D" w14:textId="77777777" w:rsidR="00583A54" w:rsidRDefault="00583A54">
    <w:pPr>
      <w:pStyle w:val="Header"/>
      <w:tabs>
        <w:tab w:val="clear" w:pos="9360"/>
        <w:tab w:val="right" w:pos="9340"/>
      </w:tabs>
    </w:pPr>
  </w:p>
  <w:p w14:paraId="3E28FCE8" w14:textId="77777777" w:rsidR="00583A54" w:rsidRDefault="00583A54">
    <w:pPr>
      <w:pStyle w:val="Header"/>
      <w:tabs>
        <w:tab w:val="clear" w:pos="9360"/>
        <w:tab w:val="right" w:pos="9340"/>
      </w:tabs>
    </w:pPr>
  </w:p>
  <w:p w14:paraId="457B3309" w14:textId="77777777" w:rsidR="00583A54" w:rsidRDefault="00583A54">
    <w:pPr>
      <w:pStyle w:val="Header"/>
      <w:tabs>
        <w:tab w:val="clear" w:pos="9360"/>
        <w:tab w:val="right" w:pos="9340"/>
      </w:tabs>
    </w:pPr>
  </w:p>
  <w:p w14:paraId="2261C98C" w14:textId="77777777" w:rsidR="00583A54" w:rsidRDefault="00583A54">
    <w:pPr>
      <w:pStyle w:val="Header"/>
      <w:tabs>
        <w:tab w:val="clear" w:pos="9360"/>
        <w:tab w:val="right" w:pos="9340"/>
      </w:tabs>
    </w:pPr>
  </w:p>
  <w:p w14:paraId="1C7DBB35" w14:textId="77777777" w:rsidR="00583A54" w:rsidRDefault="00583A54">
    <w:pPr>
      <w:pStyle w:val="Header"/>
      <w:tabs>
        <w:tab w:val="clear" w:pos="9360"/>
        <w:tab w:val="right" w:pos="93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857AB"/>
    <w:multiLevelType w:val="hybridMultilevel"/>
    <w:tmpl w:val="F384B14C"/>
    <w:styleLink w:val="ImportedStyle1"/>
    <w:lvl w:ilvl="0" w:tplc="58AC2542">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72BBF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0C41B4">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A70D94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95E80D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CE497A">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BAADBD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7CCA6A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168DE0">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6BC71300"/>
    <w:multiLevelType w:val="hybridMultilevel"/>
    <w:tmpl w:val="F384B14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54"/>
    <w:rsid w:val="0035195C"/>
    <w:rsid w:val="00583A54"/>
    <w:rsid w:val="00654B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28E0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cs="Arial Unicode MS"/>
      <w:color w:val="000000"/>
      <w:sz w:val="24"/>
      <w:szCs w:val="24"/>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rPr>
  </w:style>
  <w:style w:type="character" w:customStyle="1" w:styleId="Link">
    <w:name w:val="Link"/>
    <w:rPr>
      <w:color w:val="0000FF"/>
      <w:u w:val="single" w:color="0000FF"/>
      <w:lang w:val="en-US"/>
    </w:rPr>
  </w:style>
  <w:style w:type="character" w:customStyle="1" w:styleId="Hyperlink0">
    <w:name w:val="Hyperlink.0"/>
    <w:basedOn w:val="Link"/>
    <w:rPr>
      <w:rFonts w:ascii="Times New Roman" w:eastAsia="Times New Roman" w:hAnsi="Times New Roman" w:cs="Times New Roman"/>
      <w:color w:val="0000FF"/>
      <w:sz w:val="16"/>
      <w:szCs w:val="16"/>
      <w:u w:val="single" w:color="0000FF"/>
      <w:lang w:val="en-US"/>
    </w:rPr>
  </w:style>
  <w:style w:type="character" w:styleId="FootnoteReference">
    <w:name w:val="footnote reference"/>
    <w:rPr>
      <w:vertAlign w:val="superscript"/>
    </w:rPr>
  </w:style>
  <w:style w:type="character" w:customStyle="1" w:styleId="Hyperlink1">
    <w:name w:val="Hyperlink.1"/>
    <w:basedOn w:val="Link"/>
    <w:rPr>
      <w:rFonts w:ascii="Times New Roman" w:eastAsia="Times New Roman" w:hAnsi="Times New Roman" w:cs="Times New Roman"/>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cooling@acla.com" TargetMode="Externa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ig.hhs.gov/oei/reports/oei-09-16-0004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7307</Characters>
  <Application>Microsoft Macintosh Word</Application>
  <DocSecurity>0</DocSecurity>
  <Lines>60</Lines>
  <Paragraphs>17</Paragraphs>
  <ScaleCrop>false</ScaleCrop>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Riggs</cp:lastModifiedBy>
  <cp:revision>2</cp:revision>
  <dcterms:created xsi:type="dcterms:W3CDTF">2017-06-07T15:30:00Z</dcterms:created>
  <dcterms:modified xsi:type="dcterms:W3CDTF">2017-06-07T15:30:00Z</dcterms:modified>
</cp:coreProperties>
</file>