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656B" w14:textId="77777777" w:rsidR="00EF27E4" w:rsidRPr="00EF27E4" w:rsidRDefault="00EF27E4" w:rsidP="005A0CC5">
      <w:pPr>
        <w:pStyle w:val="Heading1"/>
        <w:ind w:left="2809"/>
        <w:rPr>
          <w:sz w:val="24"/>
          <w:szCs w:val="24"/>
        </w:rPr>
      </w:pPr>
      <w:r w:rsidRPr="00EF27E4">
        <w:rPr>
          <w:sz w:val="24"/>
          <w:szCs w:val="24"/>
        </w:rPr>
        <w:t>Frequently Asked Questions (FAQs)</w:t>
      </w:r>
    </w:p>
    <w:p w14:paraId="355EF3AE" w14:textId="65C88A3A" w:rsidR="00834921" w:rsidRDefault="00834921" w:rsidP="005A0CC5">
      <w:pPr>
        <w:ind w:left="1194" w:right="1198"/>
        <w:jc w:val="center"/>
        <w:rPr>
          <w:rFonts w:ascii="Times New Roman" w:hAnsi="Times New Roman" w:cs="Times New Roman"/>
          <w:b/>
        </w:rPr>
      </w:pPr>
      <w:r>
        <w:rPr>
          <w:rFonts w:ascii="Times New Roman" w:hAnsi="Times New Roman" w:cs="Times New Roman"/>
          <w:b/>
        </w:rPr>
        <w:t xml:space="preserve">PAMA Appeal </w:t>
      </w:r>
      <w:r w:rsidR="00EF27E4" w:rsidRPr="00EF27E4">
        <w:rPr>
          <w:rFonts w:ascii="Times New Roman" w:hAnsi="Times New Roman" w:cs="Times New Roman"/>
          <w:b/>
        </w:rPr>
        <w:t xml:space="preserve">Filed by ACLA </w:t>
      </w:r>
    </w:p>
    <w:p w14:paraId="647E8E17" w14:textId="53305434" w:rsidR="00EF27E4" w:rsidRPr="00EF27E4" w:rsidRDefault="00274978" w:rsidP="005A0CC5">
      <w:pPr>
        <w:ind w:left="1194" w:right="1198"/>
        <w:jc w:val="center"/>
        <w:rPr>
          <w:rFonts w:ascii="Times New Roman" w:hAnsi="Times New Roman" w:cs="Times New Roman"/>
          <w:b/>
        </w:rPr>
      </w:pPr>
      <w:r>
        <w:rPr>
          <w:rFonts w:ascii="Times New Roman" w:hAnsi="Times New Roman" w:cs="Times New Roman"/>
          <w:b/>
        </w:rPr>
        <w:t>October 19</w:t>
      </w:r>
      <w:r w:rsidR="00EF27E4" w:rsidRPr="00EF27E4">
        <w:rPr>
          <w:rFonts w:ascii="Times New Roman" w:hAnsi="Times New Roman" w:cs="Times New Roman"/>
          <w:b/>
        </w:rPr>
        <w:t>, 2018</w:t>
      </w:r>
    </w:p>
    <w:p w14:paraId="661DE87D" w14:textId="77777777" w:rsidR="00EF27E4" w:rsidRPr="00EF27E4" w:rsidRDefault="00EF27E4" w:rsidP="005A0CC5">
      <w:pPr>
        <w:pStyle w:val="BodyText"/>
        <w:rPr>
          <w:b/>
          <w:sz w:val="24"/>
          <w:szCs w:val="24"/>
        </w:rPr>
      </w:pPr>
    </w:p>
    <w:p w14:paraId="7FB2CEF2" w14:textId="4883AA14" w:rsidR="00EF27E4" w:rsidRDefault="00834921" w:rsidP="005A0CC5">
      <w:pPr>
        <w:rPr>
          <w:rFonts w:ascii="Times New Roman" w:hAnsi="Times New Roman" w:cs="Times New Roman"/>
          <w:b/>
        </w:rPr>
      </w:pPr>
      <w:r>
        <w:rPr>
          <w:rFonts w:ascii="Times New Roman" w:hAnsi="Times New Roman" w:cs="Times New Roman"/>
          <w:b/>
        </w:rPr>
        <w:t>Why has the appeal</w:t>
      </w:r>
      <w:r w:rsidR="00EF27E4" w:rsidRPr="00EF27E4">
        <w:rPr>
          <w:rFonts w:ascii="Times New Roman" w:hAnsi="Times New Roman" w:cs="Times New Roman"/>
          <w:b/>
        </w:rPr>
        <w:t xml:space="preserve"> been</w:t>
      </w:r>
      <w:r w:rsidR="00EF27E4" w:rsidRPr="00EF27E4">
        <w:rPr>
          <w:rFonts w:ascii="Times New Roman" w:hAnsi="Times New Roman" w:cs="Times New Roman"/>
          <w:b/>
          <w:spacing w:val="-6"/>
        </w:rPr>
        <w:t xml:space="preserve"> </w:t>
      </w:r>
      <w:r w:rsidR="00EF27E4" w:rsidRPr="00EF27E4">
        <w:rPr>
          <w:rFonts w:ascii="Times New Roman" w:hAnsi="Times New Roman" w:cs="Times New Roman"/>
          <w:b/>
        </w:rPr>
        <w:t>filed?</w:t>
      </w:r>
    </w:p>
    <w:p w14:paraId="09BA079D" w14:textId="33CA9085" w:rsidR="00EF27E4" w:rsidRPr="00042D1F" w:rsidRDefault="0079085C" w:rsidP="005A0CC5">
      <w:pPr>
        <w:rPr>
          <w:rFonts w:ascii="Times New Roman" w:hAnsi="Times New Roman" w:cs="Times New Roman"/>
        </w:rPr>
      </w:pPr>
      <w:r>
        <w:rPr>
          <w:rFonts w:ascii="Times New Roman" w:hAnsi="Times New Roman" w:cs="Times New Roman"/>
        </w:rPr>
        <w:t>On September</w:t>
      </w:r>
      <w:r w:rsidR="009723A3">
        <w:rPr>
          <w:rFonts w:ascii="Times New Roman" w:hAnsi="Times New Roman" w:cs="Times New Roman"/>
        </w:rPr>
        <w:t xml:space="preserve"> 21, 2018, t</w:t>
      </w:r>
      <w:r w:rsidR="00716CF3">
        <w:rPr>
          <w:rFonts w:ascii="Times New Roman" w:hAnsi="Times New Roman" w:cs="Times New Roman"/>
        </w:rPr>
        <w:t xml:space="preserve">he </w:t>
      </w:r>
      <w:r w:rsidR="004E4469">
        <w:rPr>
          <w:rFonts w:ascii="Times New Roman" w:hAnsi="Times New Roman" w:cs="Times New Roman"/>
        </w:rPr>
        <w:t>district court for the District of Columbia</w:t>
      </w:r>
      <w:r w:rsidR="00716CF3">
        <w:rPr>
          <w:rFonts w:ascii="Times New Roman" w:hAnsi="Times New Roman" w:cs="Times New Roman"/>
        </w:rPr>
        <w:t xml:space="preserve"> </w:t>
      </w:r>
      <w:r>
        <w:rPr>
          <w:rFonts w:ascii="Times New Roman" w:hAnsi="Times New Roman" w:cs="Times New Roman"/>
        </w:rPr>
        <w:t xml:space="preserve">issued its decision in </w:t>
      </w:r>
      <w:r w:rsidRPr="0087035A">
        <w:rPr>
          <w:rFonts w:ascii="Times New Roman" w:hAnsi="Times New Roman" w:cs="Times New Roman"/>
          <w:i/>
        </w:rPr>
        <w:t>ACLA v. Azar</w:t>
      </w:r>
      <w:r>
        <w:rPr>
          <w:rFonts w:ascii="Times New Roman" w:hAnsi="Times New Roman" w:cs="Times New Roman"/>
        </w:rPr>
        <w:t xml:space="preserve">, </w:t>
      </w:r>
      <w:r w:rsidR="004E4469">
        <w:rPr>
          <w:rFonts w:ascii="Times New Roman" w:hAnsi="Times New Roman" w:cs="Times New Roman"/>
        </w:rPr>
        <w:t>the lawsuit filed by ACLA</w:t>
      </w:r>
      <w:r w:rsidR="009723A3">
        <w:rPr>
          <w:rFonts w:ascii="Times New Roman" w:hAnsi="Times New Roman" w:cs="Times New Roman"/>
        </w:rPr>
        <w:t xml:space="preserve"> </w:t>
      </w:r>
      <w:r w:rsidR="0015081C">
        <w:rPr>
          <w:rFonts w:ascii="Times New Roman" w:hAnsi="Times New Roman" w:cs="Times New Roman"/>
        </w:rPr>
        <w:t>o</w:t>
      </w:r>
      <w:r w:rsidR="009723A3">
        <w:rPr>
          <w:rFonts w:ascii="Times New Roman" w:hAnsi="Times New Roman" w:cs="Times New Roman"/>
        </w:rPr>
        <w:t xml:space="preserve">n December </w:t>
      </w:r>
      <w:r w:rsidR="0015081C">
        <w:rPr>
          <w:rFonts w:ascii="Times New Roman" w:hAnsi="Times New Roman" w:cs="Times New Roman"/>
        </w:rPr>
        <w:t xml:space="preserve">11, </w:t>
      </w:r>
      <w:r w:rsidR="009723A3">
        <w:rPr>
          <w:rFonts w:ascii="Times New Roman" w:hAnsi="Times New Roman" w:cs="Times New Roman"/>
        </w:rPr>
        <w:t>201</w:t>
      </w:r>
      <w:r>
        <w:rPr>
          <w:rFonts w:ascii="Times New Roman" w:hAnsi="Times New Roman" w:cs="Times New Roman"/>
        </w:rPr>
        <w:t>7</w:t>
      </w:r>
      <w:r w:rsidR="009723A3">
        <w:rPr>
          <w:rFonts w:ascii="Times New Roman" w:hAnsi="Times New Roman" w:cs="Times New Roman"/>
        </w:rPr>
        <w:t xml:space="preserve"> challenging </w:t>
      </w:r>
      <w:r w:rsidR="00EF27E4" w:rsidRPr="00042D1F">
        <w:rPr>
          <w:rFonts w:ascii="Times New Roman" w:hAnsi="Times New Roman" w:cs="Times New Roman"/>
        </w:rPr>
        <w:t xml:space="preserve">implementation of the data reporting requirements of Section 216 of the Protecting Access to Medicare Act (PAMA). </w:t>
      </w:r>
      <w:r w:rsidR="009723A3">
        <w:rPr>
          <w:rFonts w:ascii="Times New Roman" w:hAnsi="Times New Roman" w:cs="Times New Roman"/>
        </w:rPr>
        <w:t>While t</w:t>
      </w:r>
      <w:r w:rsidR="00042D1F">
        <w:rPr>
          <w:rFonts w:ascii="Times New Roman" w:hAnsi="Times New Roman" w:cs="Times New Roman"/>
        </w:rPr>
        <w:t>he district court indicated ACLA’s “arguments on the m</w:t>
      </w:r>
      <w:r w:rsidR="009723A3">
        <w:rPr>
          <w:rFonts w:ascii="Times New Roman" w:hAnsi="Times New Roman" w:cs="Times New Roman"/>
        </w:rPr>
        <w:t>erits raise important questions,</w:t>
      </w:r>
      <w:r w:rsidR="00042D1F">
        <w:rPr>
          <w:rFonts w:ascii="Times New Roman" w:hAnsi="Times New Roman" w:cs="Times New Roman"/>
        </w:rPr>
        <w:t>”</w:t>
      </w:r>
      <w:r w:rsidR="009723A3">
        <w:rPr>
          <w:rFonts w:ascii="Times New Roman" w:hAnsi="Times New Roman" w:cs="Times New Roman"/>
        </w:rPr>
        <w:t xml:space="preserve"> t</w:t>
      </w:r>
      <w:r w:rsidR="00042D1F">
        <w:rPr>
          <w:rFonts w:ascii="Times New Roman" w:hAnsi="Times New Roman" w:cs="Times New Roman"/>
        </w:rPr>
        <w:t>he court refused to address those questions</w:t>
      </w:r>
      <w:r>
        <w:rPr>
          <w:rFonts w:ascii="Times New Roman" w:hAnsi="Times New Roman" w:cs="Times New Roman"/>
        </w:rPr>
        <w:t>,</w:t>
      </w:r>
      <w:r w:rsidR="009723A3">
        <w:rPr>
          <w:rFonts w:ascii="Times New Roman" w:hAnsi="Times New Roman" w:cs="Times New Roman"/>
        </w:rPr>
        <w:t xml:space="preserve"> </w:t>
      </w:r>
      <w:r w:rsidR="00042D1F">
        <w:rPr>
          <w:rFonts w:ascii="Times New Roman" w:hAnsi="Times New Roman" w:cs="Times New Roman"/>
        </w:rPr>
        <w:t>concluding the statutory bar on judicial review “of the establishment of payment amounts” precluded it from doing so</w:t>
      </w:r>
      <w:r>
        <w:rPr>
          <w:rFonts w:ascii="Times New Roman" w:hAnsi="Times New Roman" w:cs="Times New Roman"/>
        </w:rPr>
        <w:t>,</w:t>
      </w:r>
      <w:r w:rsidR="00042D1F">
        <w:rPr>
          <w:rFonts w:ascii="Times New Roman" w:hAnsi="Times New Roman" w:cs="Times New Roman"/>
        </w:rPr>
        <w:t xml:space="preserve"> even though </w:t>
      </w:r>
      <w:r w:rsidR="00EF27E4" w:rsidRPr="00042D1F">
        <w:rPr>
          <w:rFonts w:ascii="Times New Roman" w:hAnsi="Times New Roman" w:cs="Times New Roman"/>
        </w:rPr>
        <w:t xml:space="preserve">the vast majority of laboratories </w:t>
      </w:r>
      <w:r w:rsidR="00042D1F">
        <w:rPr>
          <w:rFonts w:ascii="Times New Roman" w:hAnsi="Times New Roman" w:cs="Times New Roman"/>
        </w:rPr>
        <w:t xml:space="preserve">were exempted </w:t>
      </w:r>
      <w:r w:rsidR="00EF27E4" w:rsidRPr="00042D1F">
        <w:rPr>
          <w:rFonts w:ascii="Times New Roman" w:hAnsi="Times New Roman" w:cs="Times New Roman"/>
        </w:rPr>
        <w:t xml:space="preserve">from the requirement to </w:t>
      </w:r>
      <w:r w:rsidR="00EF27E4" w:rsidRPr="00042D1F">
        <w:rPr>
          <w:rFonts w:ascii="Times New Roman" w:hAnsi="Times New Roman" w:cs="Times New Roman"/>
          <w:spacing w:val="2"/>
        </w:rPr>
        <w:t xml:space="preserve">report </w:t>
      </w:r>
      <w:r w:rsidR="00EF27E4" w:rsidRPr="00042D1F">
        <w:rPr>
          <w:rFonts w:ascii="Times New Roman" w:hAnsi="Times New Roman" w:cs="Times New Roman"/>
        </w:rPr>
        <w:t>private payor data to CMS to determine Medicare reimbursement for lab tests under the Clinical Laboratory Fee Schedule</w:t>
      </w:r>
      <w:r w:rsidR="00EF27E4" w:rsidRPr="00042D1F">
        <w:rPr>
          <w:rFonts w:ascii="Times New Roman" w:hAnsi="Times New Roman" w:cs="Times New Roman"/>
          <w:spacing w:val="-9"/>
        </w:rPr>
        <w:t xml:space="preserve"> </w:t>
      </w:r>
      <w:r w:rsidR="00EF27E4" w:rsidRPr="00042D1F">
        <w:rPr>
          <w:rFonts w:ascii="Times New Roman" w:hAnsi="Times New Roman" w:cs="Times New Roman"/>
        </w:rPr>
        <w:t>(CLFS).</w:t>
      </w:r>
    </w:p>
    <w:p w14:paraId="32D61CBE" w14:textId="77777777" w:rsidR="00EF27E4" w:rsidRPr="00EF27E4" w:rsidRDefault="00EF27E4" w:rsidP="005A0CC5">
      <w:pPr>
        <w:pStyle w:val="BodyText"/>
        <w:ind w:left="104" w:right="122"/>
        <w:rPr>
          <w:sz w:val="24"/>
          <w:szCs w:val="24"/>
        </w:rPr>
      </w:pPr>
    </w:p>
    <w:p w14:paraId="38369BE6" w14:textId="6E3A452A" w:rsidR="00EF27E4" w:rsidRPr="00EF27E4" w:rsidRDefault="00EF27E4" w:rsidP="005A0CC5">
      <w:pPr>
        <w:pStyle w:val="Heading1"/>
        <w:ind w:left="0"/>
        <w:rPr>
          <w:sz w:val="24"/>
          <w:szCs w:val="24"/>
        </w:rPr>
      </w:pPr>
      <w:r w:rsidRPr="00EF27E4">
        <w:rPr>
          <w:sz w:val="24"/>
          <w:szCs w:val="24"/>
        </w:rPr>
        <w:t>Who are the p</w:t>
      </w:r>
      <w:r w:rsidR="00834921">
        <w:rPr>
          <w:sz w:val="24"/>
          <w:szCs w:val="24"/>
        </w:rPr>
        <w:t>arties to the appeal</w:t>
      </w:r>
      <w:r w:rsidRPr="00EF27E4">
        <w:rPr>
          <w:sz w:val="24"/>
          <w:szCs w:val="24"/>
        </w:rPr>
        <w:t>?</w:t>
      </w:r>
    </w:p>
    <w:p w14:paraId="03FEA1EF" w14:textId="7D170AC9" w:rsidR="00EF27E4" w:rsidRPr="00EF27E4" w:rsidRDefault="00716CF3" w:rsidP="005A0CC5">
      <w:pPr>
        <w:pStyle w:val="BodyText"/>
        <w:ind w:right="122"/>
        <w:rPr>
          <w:sz w:val="24"/>
          <w:szCs w:val="24"/>
        </w:rPr>
      </w:pPr>
      <w:r>
        <w:rPr>
          <w:sz w:val="24"/>
          <w:szCs w:val="24"/>
        </w:rPr>
        <w:t xml:space="preserve">ACLA </w:t>
      </w:r>
      <w:r w:rsidR="0079085C">
        <w:rPr>
          <w:sz w:val="24"/>
          <w:szCs w:val="24"/>
        </w:rPr>
        <w:t>a</w:t>
      </w:r>
      <w:r>
        <w:rPr>
          <w:sz w:val="24"/>
          <w:szCs w:val="24"/>
        </w:rPr>
        <w:t>s the party filing is the petitioner in the appeal.</w:t>
      </w:r>
      <w:r w:rsidR="00EF27E4" w:rsidRPr="00EF27E4">
        <w:rPr>
          <w:sz w:val="24"/>
          <w:szCs w:val="24"/>
        </w:rPr>
        <w:t xml:space="preserve"> Key to the mission of ACLA </w:t>
      </w:r>
      <w:r w:rsidR="00EF27E4" w:rsidRPr="00EF27E4">
        <w:rPr>
          <w:spacing w:val="-4"/>
          <w:sz w:val="24"/>
          <w:szCs w:val="24"/>
        </w:rPr>
        <w:t xml:space="preserve">is </w:t>
      </w:r>
      <w:r w:rsidR="00EF27E4" w:rsidRPr="00EF27E4">
        <w:rPr>
          <w:sz w:val="24"/>
          <w:szCs w:val="24"/>
        </w:rPr>
        <w:t xml:space="preserve">to advocate for laws and regulations recognizing the essential role that laboratory services play in delivering cost-effective health care, </w:t>
      </w:r>
      <w:r w:rsidR="00EF27E4" w:rsidRPr="00EF27E4">
        <w:rPr>
          <w:spacing w:val="-3"/>
          <w:sz w:val="24"/>
          <w:szCs w:val="24"/>
        </w:rPr>
        <w:t xml:space="preserve">and </w:t>
      </w:r>
      <w:r w:rsidR="00EF27E4" w:rsidRPr="00EF27E4">
        <w:rPr>
          <w:sz w:val="24"/>
          <w:szCs w:val="24"/>
        </w:rPr>
        <w:t xml:space="preserve">to protect and advance its members’ interests relating to federal health programs, such as the Medicare program.  </w:t>
      </w:r>
      <w:r w:rsidR="00EF27E4" w:rsidRPr="00EF27E4">
        <w:rPr>
          <w:spacing w:val="2"/>
          <w:sz w:val="24"/>
          <w:szCs w:val="24"/>
        </w:rPr>
        <w:t xml:space="preserve">ACLA </w:t>
      </w:r>
      <w:r w:rsidR="00EF27E4" w:rsidRPr="00EF27E4">
        <w:rPr>
          <w:sz w:val="24"/>
          <w:szCs w:val="24"/>
        </w:rPr>
        <w:t xml:space="preserve">members, the nation’s leading clinical and anatomic pathology laboratories, including national, regional, specialty, end-stage renal disease, hospital and nursing home laboratories, provide millions of </w:t>
      </w:r>
      <w:proofErr w:type="gramStart"/>
      <w:r w:rsidR="00EF27E4" w:rsidRPr="00EF27E4">
        <w:rPr>
          <w:sz w:val="24"/>
          <w:szCs w:val="24"/>
        </w:rPr>
        <w:t>lab</w:t>
      </w:r>
      <w:proofErr w:type="gramEnd"/>
      <w:r w:rsidR="00EF27E4" w:rsidRPr="00EF27E4">
        <w:rPr>
          <w:sz w:val="24"/>
          <w:szCs w:val="24"/>
        </w:rPr>
        <w:t xml:space="preserve"> tests each year to Medicare beneficiaries. Services provided under PAMA are therefore of high priority and great importance to ACLA and the patients its members</w:t>
      </w:r>
      <w:r w:rsidR="00EF27E4" w:rsidRPr="00EF27E4">
        <w:rPr>
          <w:spacing w:val="-2"/>
          <w:sz w:val="24"/>
          <w:szCs w:val="24"/>
        </w:rPr>
        <w:t xml:space="preserve"> </w:t>
      </w:r>
      <w:r w:rsidR="00EF27E4" w:rsidRPr="00EF27E4">
        <w:rPr>
          <w:sz w:val="24"/>
          <w:szCs w:val="24"/>
        </w:rPr>
        <w:t>serve.</w:t>
      </w:r>
    </w:p>
    <w:p w14:paraId="4A0A1500" w14:textId="77777777" w:rsidR="00EF27E4" w:rsidRPr="00EF27E4" w:rsidRDefault="00EF27E4" w:rsidP="005A0CC5">
      <w:pPr>
        <w:rPr>
          <w:rFonts w:ascii="Times New Roman" w:hAnsi="Times New Roman" w:cs="Times New Roman"/>
        </w:rPr>
      </w:pPr>
    </w:p>
    <w:p w14:paraId="76679D03" w14:textId="681416DE" w:rsidR="004F7AA3" w:rsidRPr="00EF27E4" w:rsidRDefault="00EF27E4" w:rsidP="005A0CC5">
      <w:pPr>
        <w:rPr>
          <w:rFonts w:ascii="Times New Roman" w:hAnsi="Times New Roman" w:cs="Times New Roman"/>
        </w:rPr>
      </w:pPr>
      <w:r w:rsidRPr="00EF27E4">
        <w:rPr>
          <w:rFonts w:ascii="Times New Roman" w:hAnsi="Times New Roman" w:cs="Times New Roman"/>
        </w:rPr>
        <w:t xml:space="preserve">The </w:t>
      </w:r>
      <w:r w:rsidR="00716CF3">
        <w:rPr>
          <w:rFonts w:ascii="Times New Roman" w:hAnsi="Times New Roman" w:cs="Times New Roman"/>
        </w:rPr>
        <w:t xml:space="preserve">respondent, the party </w:t>
      </w:r>
      <w:r w:rsidR="00834921">
        <w:rPr>
          <w:rFonts w:ascii="Times New Roman" w:hAnsi="Times New Roman" w:cs="Times New Roman"/>
        </w:rPr>
        <w:t>against whom the appeal is filed</w:t>
      </w:r>
      <w:r w:rsidR="00716CF3">
        <w:rPr>
          <w:rFonts w:ascii="Times New Roman" w:hAnsi="Times New Roman" w:cs="Times New Roman"/>
        </w:rPr>
        <w:t>,</w:t>
      </w:r>
      <w:r w:rsidR="00834921">
        <w:rPr>
          <w:rFonts w:ascii="Times New Roman" w:hAnsi="Times New Roman" w:cs="Times New Roman"/>
        </w:rPr>
        <w:t xml:space="preserve"> is the </w:t>
      </w:r>
      <w:r w:rsidRPr="00EF27E4">
        <w:rPr>
          <w:rFonts w:ascii="Times New Roman" w:hAnsi="Times New Roman" w:cs="Times New Roman"/>
        </w:rPr>
        <w:t xml:space="preserve">Secretary of the U.S. Department of Health and Human Services, Alex Azar, who is sued in his official capacity. </w:t>
      </w:r>
    </w:p>
    <w:p w14:paraId="5F4B99C4" w14:textId="7256EFFB" w:rsidR="00EF27E4" w:rsidRPr="00EF27E4" w:rsidRDefault="00EF27E4" w:rsidP="005A0CC5">
      <w:pPr>
        <w:rPr>
          <w:rFonts w:ascii="Times New Roman" w:hAnsi="Times New Roman" w:cs="Times New Roman"/>
        </w:rPr>
      </w:pPr>
    </w:p>
    <w:p w14:paraId="3A64D8C2" w14:textId="7E44EAA0" w:rsidR="00C54502" w:rsidRPr="00EF27E4" w:rsidRDefault="00C54502" w:rsidP="005A0CC5">
      <w:pPr>
        <w:rPr>
          <w:rFonts w:ascii="Times New Roman" w:hAnsi="Times New Roman" w:cs="Times New Roman"/>
          <w:b/>
        </w:rPr>
      </w:pPr>
      <w:r w:rsidRPr="00EF27E4">
        <w:rPr>
          <w:rFonts w:ascii="Times New Roman" w:hAnsi="Times New Roman" w:cs="Times New Roman"/>
          <w:b/>
        </w:rPr>
        <w:t xml:space="preserve">Why </w:t>
      </w:r>
      <w:r>
        <w:rPr>
          <w:rFonts w:ascii="Times New Roman" w:hAnsi="Times New Roman" w:cs="Times New Roman"/>
          <w:b/>
        </w:rPr>
        <w:t>did ACLA pursue PAMA in the courts</w:t>
      </w:r>
      <w:r w:rsidRPr="00EF27E4">
        <w:rPr>
          <w:rFonts w:ascii="Times New Roman" w:hAnsi="Times New Roman" w:cs="Times New Roman"/>
          <w:b/>
        </w:rPr>
        <w:t>?</w:t>
      </w:r>
    </w:p>
    <w:p w14:paraId="49DC5AB9" w14:textId="25E579DA" w:rsidR="00C54502" w:rsidRPr="00EF27E4" w:rsidRDefault="00C54502" w:rsidP="005A0CC5">
      <w:pPr>
        <w:pStyle w:val="BodyText"/>
        <w:ind w:right="389"/>
        <w:rPr>
          <w:sz w:val="24"/>
          <w:szCs w:val="24"/>
        </w:rPr>
      </w:pPr>
      <w:r>
        <w:rPr>
          <w:sz w:val="24"/>
          <w:szCs w:val="24"/>
        </w:rPr>
        <w:t xml:space="preserve">ACLA filed suit in December 2017 </w:t>
      </w:r>
      <w:r w:rsidRPr="00EF27E4">
        <w:rPr>
          <w:sz w:val="24"/>
          <w:szCs w:val="24"/>
        </w:rPr>
        <w:t>to challenge the Acting Secretary of the U.S. Department of Health and Human Services’ (HHS) implementation of the data reporting requirements of Section 216 of the Protecting Access to Medicare Act (PAMA). Specifically, the lawsuit c</w:t>
      </w:r>
      <w:r>
        <w:rPr>
          <w:sz w:val="24"/>
          <w:szCs w:val="24"/>
        </w:rPr>
        <w:t xml:space="preserve">hallenged </w:t>
      </w:r>
      <w:r w:rsidRPr="00EF27E4">
        <w:rPr>
          <w:sz w:val="24"/>
          <w:szCs w:val="24"/>
        </w:rPr>
        <w:t xml:space="preserve">the unlawful exemption of the vast majority of laboratories from the requirement to </w:t>
      </w:r>
      <w:r w:rsidRPr="00EF27E4">
        <w:rPr>
          <w:spacing w:val="2"/>
          <w:sz w:val="24"/>
          <w:szCs w:val="24"/>
        </w:rPr>
        <w:t xml:space="preserve">report </w:t>
      </w:r>
      <w:r w:rsidRPr="00EF27E4">
        <w:rPr>
          <w:sz w:val="24"/>
          <w:szCs w:val="24"/>
        </w:rPr>
        <w:t xml:space="preserve">private payor data to CMS to determine Medicare reimbursement for lab tests under the </w:t>
      </w:r>
      <w:r>
        <w:rPr>
          <w:sz w:val="24"/>
          <w:szCs w:val="24"/>
        </w:rPr>
        <w:t>CLFS.</w:t>
      </w:r>
    </w:p>
    <w:p w14:paraId="259159A7" w14:textId="77777777" w:rsidR="00C54502" w:rsidRPr="00EF27E4" w:rsidRDefault="00C54502" w:rsidP="005A0CC5">
      <w:pPr>
        <w:pStyle w:val="BodyText"/>
        <w:rPr>
          <w:sz w:val="24"/>
          <w:szCs w:val="24"/>
        </w:rPr>
      </w:pPr>
    </w:p>
    <w:p w14:paraId="54292B77" w14:textId="77777777" w:rsidR="00C54502" w:rsidRPr="00EF27E4" w:rsidRDefault="00C54502" w:rsidP="005A0CC5">
      <w:pPr>
        <w:pStyle w:val="BodyText"/>
        <w:ind w:right="331"/>
        <w:rPr>
          <w:sz w:val="24"/>
          <w:szCs w:val="24"/>
        </w:rPr>
      </w:pPr>
      <w:r w:rsidRPr="00EF27E4">
        <w:rPr>
          <w:sz w:val="24"/>
          <w:szCs w:val="24"/>
        </w:rPr>
        <w:t xml:space="preserve">According to the HHS Office of Inspector General (OIG), there are </w:t>
      </w:r>
      <w:proofErr w:type="gramStart"/>
      <w:r w:rsidRPr="00EF27E4">
        <w:rPr>
          <w:sz w:val="24"/>
          <w:szCs w:val="24"/>
        </w:rPr>
        <w:t>approximately 246,000</w:t>
      </w:r>
      <w:proofErr w:type="gramEnd"/>
      <w:r w:rsidRPr="00EF27E4">
        <w:rPr>
          <w:sz w:val="24"/>
          <w:szCs w:val="24"/>
        </w:rPr>
        <w:t xml:space="preserve"> laboratories in the U.S. In 2015, over 61,000 laboratories billed the Medicare program. Based on a September 2016 report, the OIG estimated 12,547 laboratories would meet the applicable laboratory definition in the PAMA statute and would be required to report private payor information to CMS. Instead, only 1,942 laboratories provided information to CMS, excluding 99.3% of the laboratory market as identified by OIG. Hospital labs contributed only 1% of the data compared to their 24% share of Medicare CLFS spending, and physician office labs contributed only 7.5% of the data, compared to their 20% share of Medicare CLFS spending.</w:t>
      </w:r>
    </w:p>
    <w:p w14:paraId="4A755F3A" w14:textId="77777777" w:rsidR="00C54502" w:rsidRPr="00EF27E4" w:rsidRDefault="00C54502" w:rsidP="005A0CC5">
      <w:pPr>
        <w:pStyle w:val="BodyText"/>
        <w:rPr>
          <w:sz w:val="24"/>
          <w:szCs w:val="24"/>
        </w:rPr>
      </w:pPr>
    </w:p>
    <w:p w14:paraId="13D31C99" w14:textId="1153A821" w:rsidR="00C54502" w:rsidRPr="00EF27E4" w:rsidRDefault="00C54502" w:rsidP="005A0CC5">
      <w:pPr>
        <w:pStyle w:val="BodyText"/>
        <w:ind w:right="122"/>
        <w:rPr>
          <w:sz w:val="24"/>
          <w:szCs w:val="24"/>
        </w:rPr>
      </w:pPr>
      <w:r w:rsidRPr="00EF27E4">
        <w:rPr>
          <w:sz w:val="24"/>
          <w:szCs w:val="24"/>
        </w:rPr>
        <w:lastRenderedPageBreak/>
        <w:t xml:space="preserve">The clear instructions of Congress to HHS to gather commercial price information from </w:t>
      </w:r>
      <w:r w:rsidRPr="00EF27E4">
        <w:rPr>
          <w:sz w:val="24"/>
          <w:szCs w:val="24"/>
          <w:u w:val="single"/>
        </w:rPr>
        <w:t>all</w:t>
      </w:r>
      <w:r w:rsidRPr="00EF27E4">
        <w:rPr>
          <w:sz w:val="24"/>
          <w:szCs w:val="24"/>
        </w:rPr>
        <w:t xml:space="preserve"> sectors of the clinical laboratory market and base Medicare payment rates on that data, were ignored. </w:t>
      </w:r>
    </w:p>
    <w:p w14:paraId="65BE2088" w14:textId="15F04D87" w:rsidR="00716CF3" w:rsidRPr="00EF27E4" w:rsidRDefault="00716CF3" w:rsidP="005A0CC5">
      <w:pPr>
        <w:pStyle w:val="BodyText"/>
        <w:rPr>
          <w:sz w:val="24"/>
          <w:szCs w:val="24"/>
        </w:rPr>
      </w:pPr>
    </w:p>
    <w:p w14:paraId="5111EF01" w14:textId="347B90AD" w:rsidR="00EF27E4" w:rsidRPr="000C35FE" w:rsidRDefault="00C54502" w:rsidP="005A0CC5">
      <w:pPr>
        <w:rPr>
          <w:rFonts w:ascii="Times New Roman" w:hAnsi="Times New Roman" w:cs="Times New Roman"/>
          <w:b/>
        </w:rPr>
      </w:pPr>
      <w:r w:rsidRPr="000C35FE">
        <w:rPr>
          <w:rFonts w:ascii="Times New Roman" w:hAnsi="Times New Roman" w:cs="Times New Roman"/>
          <w:b/>
        </w:rPr>
        <w:t>What were</w:t>
      </w:r>
      <w:r w:rsidR="000C35FE" w:rsidRPr="000C35FE">
        <w:rPr>
          <w:rFonts w:ascii="Times New Roman" w:hAnsi="Times New Roman" w:cs="Times New Roman"/>
          <w:b/>
        </w:rPr>
        <w:t xml:space="preserve"> the key arguments in the </w:t>
      </w:r>
      <w:r w:rsidR="00EF27E4" w:rsidRPr="000C35FE">
        <w:rPr>
          <w:rFonts w:ascii="Times New Roman" w:hAnsi="Times New Roman" w:cs="Times New Roman"/>
          <w:b/>
        </w:rPr>
        <w:t>lawsuit?</w:t>
      </w:r>
    </w:p>
    <w:p w14:paraId="380AE8B5" w14:textId="3FD7DFA9" w:rsidR="00EF27E4" w:rsidRPr="000C35FE" w:rsidRDefault="000C35FE" w:rsidP="005A0CC5">
      <w:pPr>
        <w:rPr>
          <w:rFonts w:ascii="Times New Roman" w:hAnsi="Times New Roman" w:cs="Times New Roman"/>
        </w:rPr>
      </w:pPr>
      <w:r w:rsidRPr="000C35FE">
        <w:rPr>
          <w:rFonts w:ascii="Times New Roman" w:hAnsi="Times New Roman" w:cs="Times New Roman"/>
        </w:rPr>
        <w:t>The suit challenged</w:t>
      </w:r>
      <w:r w:rsidR="00EF27E4" w:rsidRPr="000C35FE">
        <w:rPr>
          <w:rFonts w:ascii="Times New Roman" w:hAnsi="Times New Roman" w:cs="Times New Roman"/>
        </w:rPr>
        <w:t xml:space="preserve"> the Secretary’s final PAMA regulations, which disregard and violate the statute’s specific, unambiguous directives requiring that all applicable laboratories report relevant data to the Secretary. Congress took care to specify which laboratories would be obligated to report market data to ensure that information would be reported and collected from a broad, diverse group of market participants. In promulgating PAMA regulations, however, the Secretary disregarded Congress’s express instructions and unreasonably and arbitrarily exempted significant categories and large numbers of laboratories from the reporting requirements that Congress imposed. The Secretary’s final rule carves out large categories of laboratories — excluding 99.3 percent of the laboratory market — from the statutory reporting requirements.</w:t>
      </w:r>
    </w:p>
    <w:p w14:paraId="19CDE5D0" w14:textId="77777777" w:rsidR="00EF27E4" w:rsidRPr="000C35FE" w:rsidRDefault="00EF27E4" w:rsidP="005A0CC5">
      <w:pPr>
        <w:rPr>
          <w:rFonts w:ascii="Times New Roman" w:hAnsi="Times New Roman" w:cs="Times New Roman"/>
        </w:rPr>
      </w:pPr>
    </w:p>
    <w:p w14:paraId="0AF61B0E" w14:textId="0670A0CF" w:rsidR="00EF27E4" w:rsidRPr="000C35FE" w:rsidRDefault="009723A3" w:rsidP="005A0CC5">
      <w:pPr>
        <w:rPr>
          <w:rFonts w:ascii="Times New Roman" w:hAnsi="Times New Roman" w:cs="Times New Roman"/>
        </w:rPr>
      </w:pPr>
      <w:r>
        <w:rPr>
          <w:rFonts w:ascii="Times New Roman" w:hAnsi="Times New Roman" w:cs="Times New Roman"/>
        </w:rPr>
        <w:t xml:space="preserve">The </w:t>
      </w:r>
      <w:r w:rsidR="00EF27E4" w:rsidRPr="000C35FE">
        <w:rPr>
          <w:rFonts w:ascii="Times New Roman" w:hAnsi="Times New Roman" w:cs="Times New Roman"/>
        </w:rPr>
        <w:t>Secretary’s final rule contravenes the plain language of PAMA, is an unreasonable</w:t>
      </w:r>
    </w:p>
    <w:p w14:paraId="58C54B0E" w14:textId="7D929BE7" w:rsidR="00EF27E4" w:rsidRPr="00EF27E4" w:rsidRDefault="009723A3" w:rsidP="005A0CC5">
      <w:pPr>
        <w:rPr>
          <w:rFonts w:ascii="Times New Roman" w:hAnsi="Times New Roman" w:cs="Times New Roman"/>
        </w:rPr>
      </w:pPr>
      <w:proofErr w:type="gramStart"/>
      <w:r>
        <w:rPr>
          <w:rFonts w:ascii="Times New Roman" w:hAnsi="Times New Roman" w:cs="Times New Roman"/>
        </w:rPr>
        <w:t>application of statute,</w:t>
      </w:r>
      <w:proofErr w:type="gramEnd"/>
      <w:r>
        <w:rPr>
          <w:rFonts w:ascii="Times New Roman" w:hAnsi="Times New Roman" w:cs="Times New Roman"/>
        </w:rPr>
        <w:t xml:space="preserve"> is arbitrary and capricious, and </w:t>
      </w:r>
      <w:r w:rsidR="00EF27E4" w:rsidRPr="000C35FE">
        <w:rPr>
          <w:rFonts w:ascii="Times New Roman" w:hAnsi="Times New Roman" w:cs="Times New Roman"/>
        </w:rPr>
        <w:t>should be vacated.</w:t>
      </w:r>
    </w:p>
    <w:p w14:paraId="6812DFEC" w14:textId="37253EFF" w:rsidR="00EF27E4" w:rsidRPr="00EF27E4" w:rsidRDefault="00EF27E4" w:rsidP="005A0CC5">
      <w:pPr>
        <w:rPr>
          <w:rFonts w:ascii="Times New Roman" w:hAnsi="Times New Roman" w:cs="Times New Roman"/>
        </w:rPr>
      </w:pPr>
    </w:p>
    <w:p w14:paraId="3EDAFE4C" w14:textId="77777777" w:rsidR="00C54502" w:rsidRPr="00464C36" w:rsidRDefault="00C54502" w:rsidP="005A0CC5">
      <w:pPr>
        <w:pStyle w:val="Heading1"/>
        <w:ind w:left="0"/>
        <w:rPr>
          <w:sz w:val="24"/>
          <w:szCs w:val="24"/>
        </w:rPr>
      </w:pPr>
      <w:r w:rsidRPr="00EF27E4">
        <w:rPr>
          <w:sz w:val="24"/>
          <w:szCs w:val="24"/>
        </w:rPr>
        <w:t>What was the intended objective of PAMA as it relates to laboratories and ACLA’s view of</w:t>
      </w:r>
      <w:r>
        <w:rPr>
          <w:sz w:val="24"/>
          <w:szCs w:val="24"/>
        </w:rPr>
        <w:t xml:space="preserve"> </w:t>
      </w:r>
      <w:r w:rsidRPr="00EF27E4">
        <w:rPr>
          <w:sz w:val="24"/>
          <w:szCs w:val="24"/>
        </w:rPr>
        <w:t>that objective?</w:t>
      </w:r>
    </w:p>
    <w:p w14:paraId="725A83AC" w14:textId="22AAF474" w:rsidR="00C54502" w:rsidRPr="00EF27E4" w:rsidRDefault="00C54502" w:rsidP="005A0CC5">
      <w:pPr>
        <w:pStyle w:val="BodyText"/>
        <w:ind w:right="148"/>
        <w:rPr>
          <w:sz w:val="24"/>
          <w:szCs w:val="24"/>
        </w:rPr>
      </w:pPr>
      <w:r w:rsidRPr="00EF27E4">
        <w:rPr>
          <w:sz w:val="24"/>
          <w:szCs w:val="24"/>
        </w:rPr>
        <w:t xml:space="preserve">PAMA sought to modernize the CLFS by establishing a market-based Medicare payment system for clinical laboratory services based on the collection of private payor rates across all sectors of the clinical laboratory community. ACLA supported PAMA and continues to support the intent of Congress to establish a fair and predictable market-based system. However, the Secretary’s flawed implementation of PAMA is based on a flawed data collection process that threatens the viability of many laboratories to continue </w:t>
      </w:r>
      <w:proofErr w:type="gramStart"/>
      <w:r w:rsidRPr="00EF27E4">
        <w:rPr>
          <w:sz w:val="24"/>
          <w:szCs w:val="24"/>
        </w:rPr>
        <w:t>operations, and</w:t>
      </w:r>
      <w:proofErr w:type="gramEnd"/>
      <w:r w:rsidRPr="00EF27E4">
        <w:rPr>
          <w:sz w:val="24"/>
          <w:szCs w:val="24"/>
        </w:rPr>
        <w:t xml:space="preserve"> jeopardizes patient access to key laboratory tests. ACLA interacted extensively with HHS, CMS, and other federal executive branch agencies and staff to provide laboratory stakeholder insight into the proper implementation of PAMA Section 216. </w:t>
      </w:r>
    </w:p>
    <w:p w14:paraId="0E91E6EB" w14:textId="77777777" w:rsidR="00C54502" w:rsidRDefault="00C54502" w:rsidP="005A0CC5">
      <w:pPr>
        <w:rPr>
          <w:rFonts w:ascii="Times New Roman" w:hAnsi="Times New Roman" w:cs="Times New Roman"/>
          <w:b/>
        </w:rPr>
      </w:pPr>
    </w:p>
    <w:p w14:paraId="3DC4C0E9" w14:textId="77777777" w:rsidR="00464C36" w:rsidRDefault="00EF27E4" w:rsidP="005A0CC5">
      <w:pPr>
        <w:pStyle w:val="Heading1"/>
        <w:ind w:left="0"/>
        <w:rPr>
          <w:sz w:val="24"/>
          <w:szCs w:val="24"/>
        </w:rPr>
      </w:pPr>
      <w:r w:rsidRPr="00EF27E4">
        <w:rPr>
          <w:sz w:val="24"/>
          <w:szCs w:val="24"/>
        </w:rPr>
        <w:t>Is there still a need for Congress to act?</w:t>
      </w:r>
    </w:p>
    <w:p w14:paraId="340806CB" w14:textId="5165A4EC" w:rsidR="00EF27E4" w:rsidRPr="00464C36" w:rsidRDefault="00EF27E4" w:rsidP="005A0CC5">
      <w:pPr>
        <w:pStyle w:val="Heading1"/>
        <w:ind w:left="0"/>
        <w:rPr>
          <w:b w:val="0"/>
          <w:sz w:val="24"/>
          <w:szCs w:val="24"/>
        </w:rPr>
      </w:pPr>
      <w:r w:rsidRPr="00464C36">
        <w:rPr>
          <w:b w:val="0"/>
          <w:sz w:val="24"/>
          <w:szCs w:val="24"/>
        </w:rPr>
        <w:t xml:space="preserve">Yes. </w:t>
      </w:r>
      <w:r w:rsidR="00716CF3">
        <w:rPr>
          <w:b w:val="0"/>
          <w:sz w:val="24"/>
          <w:szCs w:val="24"/>
        </w:rPr>
        <w:t>R</w:t>
      </w:r>
      <w:r w:rsidRPr="00464C36">
        <w:rPr>
          <w:b w:val="0"/>
          <w:sz w:val="24"/>
          <w:szCs w:val="24"/>
        </w:rPr>
        <w:t>egardles</w:t>
      </w:r>
      <w:r w:rsidR="00716CF3">
        <w:rPr>
          <w:b w:val="0"/>
          <w:sz w:val="24"/>
          <w:szCs w:val="24"/>
        </w:rPr>
        <w:t>s of what happens in the appeal</w:t>
      </w:r>
      <w:r w:rsidRPr="00464C36">
        <w:rPr>
          <w:b w:val="0"/>
          <w:sz w:val="24"/>
          <w:szCs w:val="24"/>
        </w:rPr>
        <w:t xml:space="preserve">, a legislative solution remains necessary to eliminate the severe damage to laboratories and their patients caused by the flawed implementation of PAMA. The PAMA rates </w:t>
      </w:r>
      <w:r w:rsidR="0015081C">
        <w:rPr>
          <w:b w:val="0"/>
          <w:sz w:val="24"/>
          <w:szCs w:val="24"/>
        </w:rPr>
        <w:t>that went into effect in January 2018</w:t>
      </w:r>
      <w:r w:rsidRPr="00464C36">
        <w:rPr>
          <w:b w:val="0"/>
          <w:sz w:val="24"/>
          <w:szCs w:val="24"/>
        </w:rPr>
        <w:t xml:space="preserve"> represent drastic pricing reductions far beyond those intended by Congress. These rates</w:t>
      </w:r>
      <w:r w:rsidR="0015081C">
        <w:rPr>
          <w:b w:val="0"/>
          <w:sz w:val="24"/>
          <w:szCs w:val="24"/>
        </w:rPr>
        <w:t>, and the additional reductions scheduled for January 2019,</w:t>
      </w:r>
      <w:r w:rsidRPr="00464C36">
        <w:rPr>
          <w:b w:val="0"/>
          <w:sz w:val="24"/>
          <w:szCs w:val="24"/>
        </w:rPr>
        <w:t xml:space="preserve"> will create severe disruptions in access to laboratory services, particularly for the most vulnerable Medicare beneficiaries.</w:t>
      </w:r>
    </w:p>
    <w:p w14:paraId="32F960C7" w14:textId="77777777" w:rsidR="00EF27E4" w:rsidRPr="00EF27E4" w:rsidRDefault="00EF27E4" w:rsidP="005A0CC5">
      <w:pPr>
        <w:pStyle w:val="BodyText"/>
        <w:rPr>
          <w:sz w:val="24"/>
          <w:szCs w:val="24"/>
        </w:rPr>
      </w:pPr>
    </w:p>
    <w:p w14:paraId="29CE759F" w14:textId="6B6397CD" w:rsidR="00EF27E4" w:rsidRDefault="00EF27E4" w:rsidP="005A0CC5">
      <w:pPr>
        <w:ind w:left="40" w:right="113"/>
        <w:rPr>
          <w:rFonts w:ascii="Times New Roman" w:hAnsi="Times New Roman" w:cs="Times New Roman"/>
        </w:rPr>
      </w:pPr>
      <w:r w:rsidRPr="00EF27E4">
        <w:rPr>
          <w:rFonts w:ascii="Times New Roman" w:hAnsi="Times New Roman" w:cs="Times New Roman"/>
        </w:rPr>
        <w:t>We will continue to work with Congress to secure a legislative solution for the unacceptable Medicare laboratory reimbursement cuts that have resulted from HHS’ flawed implementation of</w:t>
      </w:r>
      <w:r w:rsidRPr="00EF27E4">
        <w:rPr>
          <w:rFonts w:ascii="Times New Roman" w:hAnsi="Times New Roman" w:cs="Times New Roman"/>
          <w:spacing w:val="9"/>
        </w:rPr>
        <w:t xml:space="preserve"> </w:t>
      </w:r>
      <w:r w:rsidRPr="00EF27E4">
        <w:rPr>
          <w:rFonts w:ascii="Times New Roman" w:hAnsi="Times New Roman" w:cs="Times New Roman"/>
        </w:rPr>
        <w:t>PAMA.</w:t>
      </w:r>
    </w:p>
    <w:p w14:paraId="66C3885C" w14:textId="77777777" w:rsidR="005A0CC5" w:rsidRPr="00EF27E4" w:rsidRDefault="005A0CC5" w:rsidP="005A0CC5">
      <w:pPr>
        <w:ind w:left="40" w:right="113"/>
        <w:rPr>
          <w:rFonts w:ascii="Times New Roman" w:hAnsi="Times New Roman" w:cs="Times New Roman"/>
        </w:rPr>
      </w:pPr>
      <w:bookmarkStart w:id="0" w:name="_GoBack"/>
      <w:bookmarkEnd w:id="0"/>
    </w:p>
    <w:p w14:paraId="4F6C0C66" w14:textId="0119FE20" w:rsidR="00EF27E4" w:rsidRPr="00EF27E4" w:rsidRDefault="00716CF3" w:rsidP="005A0CC5">
      <w:pPr>
        <w:pStyle w:val="Heading1"/>
        <w:ind w:left="0" w:right="331"/>
        <w:rPr>
          <w:sz w:val="24"/>
          <w:szCs w:val="24"/>
        </w:rPr>
      </w:pPr>
      <w:r>
        <w:rPr>
          <w:sz w:val="24"/>
          <w:szCs w:val="24"/>
        </w:rPr>
        <w:t>What</w:t>
      </w:r>
      <w:r w:rsidR="000C35FE">
        <w:rPr>
          <w:sz w:val="24"/>
          <w:szCs w:val="24"/>
        </w:rPr>
        <w:t xml:space="preserve"> is the impact</w:t>
      </w:r>
      <w:r>
        <w:rPr>
          <w:sz w:val="24"/>
          <w:szCs w:val="24"/>
        </w:rPr>
        <w:t xml:space="preserve"> of PAMA’s flawed implementation on</w:t>
      </w:r>
      <w:r w:rsidR="00EF27E4" w:rsidRPr="00EF27E4">
        <w:rPr>
          <w:sz w:val="24"/>
          <w:szCs w:val="24"/>
        </w:rPr>
        <w:t xml:space="preserve"> ACLA members and Medicare beneficiaries</w:t>
      </w:r>
      <w:r>
        <w:rPr>
          <w:sz w:val="24"/>
          <w:szCs w:val="24"/>
        </w:rPr>
        <w:t>?</w:t>
      </w:r>
    </w:p>
    <w:p w14:paraId="7468AC2C" w14:textId="335DFA56" w:rsidR="00EF27E4" w:rsidRPr="00EF27E4" w:rsidRDefault="00EF27E4" w:rsidP="005A0CC5">
      <w:pPr>
        <w:pStyle w:val="BodyText"/>
        <w:ind w:right="106"/>
        <w:jc w:val="both"/>
        <w:rPr>
          <w:sz w:val="24"/>
          <w:szCs w:val="24"/>
        </w:rPr>
      </w:pPr>
      <w:r w:rsidRPr="00EF27E4">
        <w:rPr>
          <w:sz w:val="24"/>
          <w:szCs w:val="24"/>
        </w:rPr>
        <w:t>ACLA represents the nation’s leading clinical and anatomic pathology laboratories, including national,</w:t>
      </w:r>
      <w:r w:rsidRPr="00EF27E4">
        <w:rPr>
          <w:spacing w:val="-11"/>
          <w:sz w:val="24"/>
          <w:szCs w:val="24"/>
        </w:rPr>
        <w:t xml:space="preserve"> </w:t>
      </w:r>
      <w:r w:rsidRPr="00EF27E4">
        <w:rPr>
          <w:sz w:val="24"/>
          <w:szCs w:val="24"/>
        </w:rPr>
        <w:t>regional,</w:t>
      </w:r>
      <w:r w:rsidRPr="00EF27E4">
        <w:rPr>
          <w:spacing w:val="-11"/>
          <w:sz w:val="24"/>
          <w:szCs w:val="24"/>
        </w:rPr>
        <w:t xml:space="preserve"> </w:t>
      </w:r>
      <w:r w:rsidRPr="00EF27E4">
        <w:rPr>
          <w:sz w:val="24"/>
          <w:szCs w:val="24"/>
        </w:rPr>
        <w:t>specialty,</w:t>
      </w:r>
      <w:r w:rsidRPr="00EF27E4">
        <w:rPr>
          <w:spacing w:val="-11"/>
          <w:sz w:val="24"/>
          <w:szCs w:val="24"/>
        </w:rPr>
        <w:t xml:space="preserve"> </w:t>
      </w:r>
      <w:r w:rsidRPr="00EF27E4">
        <w:rPr>
          <w:sz w:val="24"/>
          <w:szCs w:val="24"/>
        </w:rPr>
        <w:t>end-stage</w:t>
      </w:r>
      <w:r w:rsidRPr="00EF27E4">
        <w:rPr>
          <w:spacing w:val="-13"/>
          <w:sz w:val="24"/>
          <w:szCs w:val="24"/>
        </w:rPr>
        <w:t xml:space="preserve"> </w:t>
      </w:r>
      <w:r w:rsidRPr="00EF27E4">
        <w:rPr>
          <w:sz w:val="24"/>
          <w:szCs w:val="24"/>
        </w:rPr>
        <w:t>renal</w:t>
      </w:r>
      <w:r w:rsidRPr="00EF27E4">
        <w:rPr>
          <w:spacing w:val="-17"/>
          <w:sz w:val="24"/>
          <w:szCs w:val="24"/>
        </w:rPr>
        <w:t xml:space="preserve"> </w:t>
      </w:r>
      <w:r w:rsidRPr="00EF27E4">
        <w:rPr>
          <w:sz w:val="24"/>
          <w:szCs w:val="24"/>
        </w:rPr>
        <w:t>disease,</w:t>
      </w:r>
      <w:r w:rsidRPr="00EF27E4">
        <w:rPr>
          <w:spacing w:val="-6"/>
          <w:sz w:val="24"/>
          <w:szCs w:val="24"/>
        </w:rPr>
        <w:t xml:space="preserve"> </w:t>
      </w:r>
      <w:r w:rsidRPr="00EF27E4">
        <w:rPr>
          <w:sz w:val="24"/>
          <w:szCs w:val="24"/>
        </w:rPr>
        <w:t>hospital</w:t>
      </w:r>
      <w:r w:rsidRPr="00EF27E4">
        <w:rPr>
          <w:spacing w:val="-17"/>
          <w:sz w:val="24"/>
          <w:szCs w:val="24"/>
        </w:rPr>
        <w:t xml:space="preserve"> </w:t>
      </w:r>
      <w:r w:rsidRPr="00EF27E4">
        <w:rPr>
          <w:sz w:val="24"/>
          <w:szCs w:val="24"/>
        </w:rPr>
        <w:t>and</w:t>
      </w:r>
      <w:r w:rsidRPr="00EF27E4">
        <w:rPr>
          <w:spacing w:val="-2"/>
          <w:sz w:val="24"/>
          <w:szCs w:val="24"/>
        </w:rPr>
        <w:t xml:space="preserve"> </w:t>
      </w:r>
      <w:r w:rsidRPr="00EF27E4">
        <w:rPr>
          <w:sz w:val="24"/>
          <w:szCs w:val="24"/>
        </w:rPr>
        <w:t>nursing</w:t>
      </w:r>
      <w:r w:rsidRPr="00EF27E4">
        <w:rPr>
          <w:spacing w:val="-6"/>
          <w:sz w:val="24"/>
          <w:szCs w:val="24"/>
        </w:rPr>
        <w:t xml:space="preserve"> </w:t>
      </w:r>
      <w:r w:rsidRPr="00EF27E4">
        <w:rPr>
          <w:sz w:val="24"/>
          <w:szCs w:val="24"/>
        </w:rPr>
        <w:t>home</w:t>
      </w:r>
      <w:r w:rsidRPr="00EF27E4">
        <w:rPr>
          <w:spacing w:val="-3"/>
          <w:sz w:val="24"/>
          <w:szCs w:val="24"/>
        </w:rPr>
        <w:t xml:space="preserve"> </w:t>
      </w:r>
      <w:r w:rsidRPr="00EF27E4">
        <w:rPr>
          <w:sz w:val="24"/>
          <w:szCs w:val="24"/>
        </w:rPr>
        <w:t>laboratories.</w:t>
      </w:r>
      <w:r w:rsidRPr="00EF27E4">
        <w:rPr>
          <w:spacing w:val="-6"/>
          <w:sz w:val="24"/>
          <w:szCs w:val="24"/>
        </w:rPr>
        <w:t xml:space="preserve"> </w:t>
      </w:r>
      <w:r w:rsidRPr="00EF27E4">
        <w:rPr>
          <w:sz w:val="24"/>
          <w:szCs w:val="24"/>
        </w:rPr>
        <w:t>If</w:t>
      </w:r>
      <w:r w:rsidRPr="00EF27E4">
        <w:rPr>
          <w:spacing w:val="-11"/>
          <w:sz w:val="24"/>
          <w:szCs w:val="24"/>
        </w:rPr>
        <w:t xml:space="preserve"> </w:t>
      </w:r>
      <w:r w:rsidRPr="00EF27E4">
        <w:rPr>
          <w:sz w:val="24"/>
          <w:szCs w:val="24"/>
        </w:rPr>
        <w:t xml:space="preserve">the </w:t>
      </w:r>
      <w:r w:rsidRPr="00EF27E4">
        <w:rPr>
          <w:sz w:val="24"/>
          <w:szCs w:val="24"/>
        </w:rPr>
        <w:lastRenderedPageBreak/>
        <w:t xml:space="preserve">Secretary’s failure to comply with Congress’s directives </w:t>
      </w:r>
      <w:r w:rsidRPr="00EF27E4">
        <w:rPr>
          <w:spacing w:val="-4"/>
          <w:sz w:val="24"/>
          <w:szCs w:val="24"/>
        </w:rPr>
        <w:t xml:space="preserve">is </w:t>
      </w:r>
      <w:r w:rsidRPr="00EF27E4">
        <w:rPr>
          <w:sz w:val="24"/>
          <w:szCs w:val="24"/>
        </w:rPr>
        <w:t>not corrected, laboratories may be forced</w:t>
      </w:r>
      <w:r w:rsidRPr="00EF27E4">
        <w:rPr>
          <w:spacing w:val="-5"/>
          <w:sz w:val="24"/>
          <w:szCs w:val="24"/>
        </w:rPr>
        <w:t xml:space="preserve"> </w:t>
      </w:r>
      <w:r w:rsidRPr="00EF27E4">
        <w:rPr>
          <w:sz w:val="24"/>
          <w:szCs w:val="24"/>
        </w:rPr>
        <w:t>to</w:t>
      </w:r>
      <w:r w:rsidRPr="00EF27E4">
        <w:rPr>
          <w:spacing w:val="-4"/>
          <w:sz w:val="24"/>
          <w:szCs w:val="24"/>
        </w:rPr>
        <w:t xml:space="preserve"> </w:t>
      </w:r>
      <w:r w:rsidRPr="00EF27E4">
        <w:rPr>
          <w:sz w:val="24"/>
          <w:szCs w:val="24"/>
        </w:rPr>
        <w:t>stop</w:t>
      </w:r>
      <w:r w:rsidRPr="00EF27E4">
        <w:rPr>
          <w:spacing w:val="-5"/>
          <w:sz w:val="24"/>
          <w:szCs w:val="24"/>
        </w:rPr>
        <w:t xml:space="preserve"> </w:t>
      </w:r>
      <w:r w:rsidRPr="00EF27E4">
        <w:rPr>
          <w:sz w:val="24"/>
          <w:szCs w:val="24"/>
        </w:rPr>
        <w:t>providing</w:t>
      </w:r>
      <w:r w:rsidRPr="00EF27E4">
        <w:rPr>
          <w:spacing w:val="-4"/>
          <w:sz w:val="24"/>
          <w:szCs w:val="24"/>
        </w:rPr>
        <w:t xml:space="preserve"> </w:t>
      </w:r>
      <w:r w:rsidRPr="00EF27E4">
        <w:rPr>
          <w:sz w:val="24"/>
          <w:szCs w:val="24"/>
        </w:rPr>
        <w:t>essential</w:t>
      </w:r>
      <w:r w:rsidRPr="00EF27E4">
        <w:rPr>
          <w:spacing w:val="-7"/>
          <w:sz w:val="24"/>
          <w:szCs w:val="24"/>
        </w:rPr>
        <w:t xml:space="preserve"> </w:t>
      </w:r>
      <w:r w:rsidRPr="00EF27E4">
        <w:rPr>
          <w:sz w:val="24"/>
          <w:szCs w:val="24"/>
        </w:rPr>
        <w:t>services,</w:t>
      </w:r>
      <w:r w:rsidRPr="00EF27E4">
        <w:rPr>
          <w:spacing w:val="1"/>
          <w:sz w:val="24"/>
          <w:szCs w:val="24"/>
        </w:rPr>
        <w:t xml:space="preserve"> </w:t>
      </w:r>
      <w:r w:rsidRPr="00EF27E4">
        <w:rPr>
          <w:sz w:val="24"/>
          <w:szCs w:val="24"/>
        </w:rPr>
        <w:t>especially</w:t>
      </w:r>
      <w:r w:rsidRPr="00EF27E4">
        <w:rPr>
          <w:spacing w:val="1"/>
          <w:sz w:val="24"/>
          <w:szCs w:val="24"/>
        </w:rPr>
        <w:t xml:space="preserve"> </w:t>
      </w:r>
      <w:r w:rsidRPr="00EF27E4">
        <w:rPr>
          <w:sz w:val="24"/>
          <w:szCs w:val="24"/>
        </w:rPr>
        <w:t>in</w:t>
      </w:r>
      <w:r w:rsidRPr="00EF27E4">
        <w:rPr>
          <w:spacing w:val="-10"/>
          <w:sz w:val="24"/>
          <w:szCs w:val="24"/>
        </w:rPr>
        <w:t xml:space="preserve"> </w:t>
      </w:r>
      <w:r w:rsidRPr="00EF27E4">
        <w:rPr>
          <w:sz w:val="24"/>
          <w:szCs w:val="24"/>
        </w:rPr>
        <w:t>remote</w:t>
      </w:r>
      <w:r w:rsidRPr="00EF27E4">
        <w:rPr>
          <w:spacing w:val="-1"/>
          <w:sz w:val="24"/>
          <w:szCs w:val="24"/>
        </w:rPr>
        <w:t xml:space="preserve"> </w:t>
      </w:r>
      <w:r w:rsidRPr="00EF27E4">
        <w:rPr>
          <w:sz w:val="24"/>
          <w:szCs w:val="24"/>
        </w:rPr>
        <w:t>rural</w:t>
      </w:r>
      <w:r w:rsidRPr="00EF27E4">
        <w:rPr>
          <w:spacing w:val="-6"/>
          <w:sz w:val="24"/>
          <w:szCs w:val="24"/>
        </w:rPr>
        <w:t xml:space="preserve"> </w:t>
      </w:r>
      <w:r w:rsidRPr="00EF27E4">
        <w:rPr>
          <w:sz w:val="24"/>
          <w:szCs w:val="24"/>
        </w:rPr>
        <w:t>areas, and</w:t>
      </w:r>
      <w:r w:rsidRPr="00EF27E4">
        <w:rPr>
          <w:spacing w:val="-4"/>
          <w:sz w:val="24"/>
          <w:szCs w:val="24"/>
        </w:rPr>
        <w:t xml:space="preserve"> </w:t>
      </w:r>
      <w:r w:rsidRPr="00EF27E4">
        <w:rPr>
          <w:sz w:val="24"/>
          <w:szCs w:val="24"/>
        </w:rPr>
        <w:t>many</w:t>
      </w:r>
      <w:r w:rsidRPr="00EF27E4">
        <w:rPr>
          <w:spacing w:val="-5"/>
          <w:sz w:val="24"/>
          <w:szCs w:val="24"/>
        </w:rPr>
        <w:t xml:space="preserve"> </w:t>
      </w:r>
      <w:r w:rsidRPr="00EF27E4">
        <w:rPr>
          <w:sz w:val="24"/>
          <w:szCs w:val="24"/>
        </w:rPr>
        <w:t>laboratories will be forced out of business. Beneficiaries may be unable to obtain essential laboratory testing services, especially very sick and elderly patients in nursing home facilities who depend on laboratory</w:t>
      </w:r>
      <w:r w:rsidRPr="00EF27E4">
        <w:rPr>
          <w:spacing w:val="-15"/>
          <w:sz w:val="24"/>
          <w:szCs w:val="24"/>
        </w:rPr>
        <w:t xml:space="preserve"> </w:t>
      </w:r>
      <w:r w:rsidRPr="00EF27E4">
        <w:rPr>
          <w:sz w:val="24"/>
          <w:szCs w:val="24"/>
        </w:rPr>
        <w:t>testing</w:t>
      </w:r>
      <w:r w:rsidRPr="00EF27E4">
        <w:rPr>
          <w:spacing w:val="-9"/>
          <w:sz w:val="24"/>
          <w:szCs w:val="24"/>
        </w:rPr>
        <w:t xml:space="preserve"> </w:t>
      </w:r>
      <w:r w:rsidRPr="00EF27E4">
        <w:rPr>
          <w:sz w:val="24"/>
          <w:szCs w:val="24"/>
        </w:rPr>
        <w:t>services.</w:t>
      </w:r>
      <w:r w:rsidRPr="00EF27E4">
        <w:rPr>
          <w:spacing w:val="39"/>
          <w:sz w:val="24"/>
          <w:szCs w:val="24"/>
        </w:rPr>
        <w:t xml:space="preserve"> </w:t>
      </w:r>
      <w:r w:rsidRPr="00EF27E4">
        <w:rPr>
          <w:sz w:val="24"/>
          <w:szCs w:val="24"/>
        </w:rPr>
        <w:t>The</w:t>
      </w:r>
      <w:r w:rsidRPr="00EF27E4">
        <w:rPr>
          <w:spacing w:val="-11"/>
          <w:sz w:val="24"/>
          <w:szCs w:val="24"/>
        </w:rPr>
        <w:t xml:space="preserve"> </w:t>
      </w:r>
      <w:r w:rsidRPr="00EF27E4">
        <w:rPr>
          <w:sz w:val="24"/>
          <w:szCs w:val="24"/>
        </w:rPr>
        <w:t>result</w:t>
      </w:r>
      <w:r w:rsidRPr="00EF27E4">
        <w:rPr>
          <w:spacing w:val="-11"/>
          <w:sz w:val="24"/>
          <w:szCs w:val="24"/>
        </w:rPr>
        <w:t xml:space="preserve"> </w:t>
      </w:r>
      <w:r w:rsidRPr="00EF27E4">
        <w:rPr>
          <w:sz w:val="24"/>
          <w:szCs w:val="24"/>
        </w:rPr>
        <w:t>will</w:t>
      </w:r>
      <w:r w:rsidRPr="00EF27E4">
        <w:rPr>
          <w:spacing w:val="-15"/>
          <w:sz w:val="24"/>
          <w:szCs w:val="24"/>
        </w:rPr>
        <w:t xml:space="preserve"> </w:t>
      </w:r>
      <w:r w:rsidRPr="00EF27E4">
        <w:rPr>
          <w:sz w:val="24"/>
          <w:szCs w:val="24"/>
        </w:rPr>
        <w:t>be</w:t>
      </w:r>
      <w:r w:rsidRPr="00EF27E4">
        <w:rPr>
          <w:spacing w:val="-11"/>
          <w:sz w:val="24"/>
          <w:szCs w:val="24"/>
        </w:rPr>
        <w:t xml:space="preserve"> </w:t>
      </w:r>
      <w:r w:rsidRPr="00EF27E4">
        <w:rPr>
          <w:sz w:val="24"/>
          <w:szCs w:val="24"/>
        </w:rPr>
        <w:t>to</w:t>
      </w:r>
      <w:r w:rsidRPr="00EF27E4">
        <w:rPr>
          <w:spacing w:val="-14"/>
          <w:sz w:val="24"/>
          <w:szCs w:val="24"/>
        </w:rPr>
        <w:t xml:space="preserve"> </w:t>
      </w:r>
      <w:r w:rsidRPr="00EF27E4">
        <w:rPr>
          <w:sz w:val="24"/>
          <w:szCs w:val="24"/>
        </w:rPr>
        <w:t>dramatically</w:t>
      </w:r>
      <w:r w:rsidRPr="00EF27E4">
        <w:rPr>
          <w:spacing w:val="-15"/>
          <w:sz w:val="24"/>
          <w:szCs w:val="24"/>
        </w:rPr>
        <w:t xml:space="preserve"> </w:t>
      </w:r>
      <w:r w:rsidRPr="00EF27E4">
        <w:rPr>
          <w:sz w:val="24"/>
          <w:szCs w:val="24"/>
        </w:rPr>
        <w:t>decrease</w:t>
      </w:r>
      <w:r w:rsidRPr="00EF27E4">
        <w:rPr>
          <w:spacing w:val="-11"/>
          <w:sz w:val="24"/>
          <w:szCs w:val="24"/>
        </w:rPr>
        <w:t xml:space="preserve"> </w:t>
      </w:r>
      <w:r w:rsidRPr="00EF27E4">
        <w:rPr>
          <w:sz w:val="24"/>
          <w:szCs w:val="24"/>
        </w:rPr>
        <w:t>the</w:t>
      </w:r>
      <w:r w:rsidRPr="00EF27E4">
        <w:rPr>
          <w:spacing w:val="-11"/>
          <w:sz w:val="24"/>
          <w:szCs w:val="24"/>
        </w:rPr>
        <w:t xml:space="preserve"> </w:t>
      </w:r>
      <w:r w:rsidRPr="00EF27E4">
        <w:rPr>
          <w:sz w:val="24"/>
          <w:szCs w:val="24"/>
        </w:rPr>
        <w:t>quality</w:t>
      </w:r>
      <w:r w:rsidRPr="00EF27E4">
        <w:rPr>
          <w:spacing w:val="-9"/>
          <w:sz w:val="24"/>
          <w:szCs w:val="24"/>
        </w:rPr>
        <w:t xml:space="preserve"> </w:t>
      </w:r>
      <w:r w:rsidRPr="00EF27E4">
        <w:rPr>
          <w:sz w:val="24"/>
          <w:szCs w:val="24"/>
        </w:rPr>
        <w:t>of</w:t>
      </w:r>
      <w:r w:rsidRPr="00EF27E4">
        <w:rPr>
          <w:spacing w:val="-14"/>
          <w:sz w:val="24"/>
          <w:szCs w:val="24"/>
        </w:rPr>
        <w:t xml:space="preserve"> </w:t>
      </w:r>
      <w:r w:rsidRPr="00EF27E4">
        <w:rPr>
          <w:sz w:val="24"/>
          <w:szCs w:val="24"/>
        </w:rPr>
        <w:t>care</w:t>
      </w:r>
      <w:r w:rsidRPr="00EF27E4">
        <w:rPr>
          <w:spacing w:val="-10"/>
          <w:sz w:val="24"/>
          <w:szCs w:val="24"/>
        </w:rPr>
        <w:t xml:space="preserve"> </w:t>
      </w:r>
      <w:r w:rsidRPr="00EF27E4">
        <w:rPr>
          <w:sz w:val="24"/>
          <w:szCs w:val="24"/>
        </w:rPr>
        <w:t>and</w:t>
      </w:r>
      <w:r w:rsidRPr="00EF27E4">
        <w:rPr>
          <w:spacing w:val="-4"/>
          <w:sz w:val="24"/>
          <w:szCs w:val="24"/>
        </w:rPr>
        <w:t xml:space="preserve"> </w:t>
      </w:r>
      <w:r w:rsidRPr="00EF27E4">
        <w:rPr>
          <w:sz w:val="24"/>
          <w:szCs w:val="24"/>
        </w:rPr>
        <w:t xml:space="preserve">force beneficiaries into hospital emergency rooms. In short, contrary to Congress’s intent, instead of reforming Medicare reimbursement rates to more closely reflect the market, </w:t>
      </w:r>
      <w:r>
        <w:rPr>
          <w:sz w:val="24"/>
          <w:szCs w:val="24"/>
        </w:rPr>
        <w:t>cu</w:t>
      </w:r>
      <w:r w:rsidR="00464C36">
        <w:rPr>
          <w:sz w:val="24"/>
          <w:szCs w:val="24"/>
        </w:rPr>
        <w:t>ts to M</w:t>
      </w:r>
      <w:r>
        <w:rPr>
          <w:sz w:val="24"/>
          <w:szCs w:val="24"/>
        </w:rPr>
        <w:t xml:space="preserve">edicare lab services resulting from the current flawed implementation of PAMA, will </w:t>
      </w:r>
      <w:r w:rsidRPr="00EF27E4">
        <w:rPr>
          <w:sz w:val="24"/>
          <w:szCs w:val="24"/>
        </w:rPr>
        <w:t>prevent</w:t>
      </w:r>
      <w:r w:rsidRPr="00EF27E4">
        <w:rPr>
          <w:spacing w:val="-14"/>
          <w:sz w:val="24"/>
          <w:szCs w:val="24"/>
        </w:rPr>
        <w:t xml:space="preserve"> </w:t>
      </w:r>
      <w:r w:rsidRPr="00EF27E4">
        <w:rPr>
          <w:sz w:val="24"/>
          <w:szCs w:val="24"/>
        </w:rPr>
        <w:t>beneficiaries</w:t>
      </w:r>
      <w:r w:rsidRPr="00EF27E4">
        <w:rPr>
          <w:spacing w:val="-5"/>
          <w:sz w:val="24"/>
          <w:szCs w:val="24"/>
        </w:rPr>
        <w:t xml:space="preserve"> </w:t>
      </w:r>
      <w:r w:rsidRPr="00EF27E4">
        <w:rPr>
          <w:sz w:val="24"/>
          <w:szCs w:val="24"/>
        </w:rPr>
        <w:t>from</w:t>
      </w:r>
      <w:r w:rsidRPr="00EF27E4">
        <w:rPr>
          <w:spacing w:val="-9"/>
          <w:sz w:val="24"/>
          <w:szCs w:val="24"/>
        </w:rPr>
        <w:t xml:space="preserve"> </w:t>
      </w:r>
      <w:r w:rsidRPr="00EF27E4">
        <w:rPr>
          <w:sz w:val="24"/>
          <w:szCs w:val="24"/>
        </w:rPr>
        <w:t>having</w:t>
      </w:r>
      <w:r w:rsidRPr="00EF27E4">
        <w:rPr>
          <w:spacing w:val="-11"/>
          <w:sz w:val="24"/>
          <w:szCs w:val="24"/>
        </w:rPr>
        <w:t xml:space="preserve"> </w:t>
      </w:r>
      <w:r w:rsidRPr="00EF27E4">
        <w:rPr>
          <w:sz w:val="24"/>
          <w:szCs w:val="24"/>
        </w:rPr>
        <w:t>access</w:t>
      </w:r>
      <w:r w:rsidRPr="00EF27E4">
        <w:rPr>
          <w:spacing w:val="-11"/>
          <w:sz w:val="24"/>
          <w:szCs w:val="24"/>
        </w:rPr>
        <w:t xml:space="preserve"> </w:t>
      </w:r>
      <w:r w:rsidRPr="00EF27E4">
        <w:rPr>
          <w:sz w:val="24"/>
          <w:szCs w:val="24"/>
        </w:rPr>
        <w:t>to</w:t>
      </w:r>
      <w:r w:rsidRPr="00EF27E4">
        <w:rPr>
          <w:spacing w:val="-16"/>
          <w:sz w:val="24"/>
          <w:szCs w:val="24"/>
        </w:rPr>
        <w:t xml:space="preserve"> </w:t>
      </w:r>
      <w:r w:rsidRPr="00EF27E4">
        <w:rPr>
          <w:sz w:val="24"/>
          <w:szCs w:val="24"/>
        </w:rPr>
        <w:t>the</w:t>
      </w:r>
      <w:r w:rsidRPr="00EF27E4">
        <w:rPr>
          <w:spacing w:val="-14"/>
          <w:sz w:val="24"/>
          <w:szCs w:val="24"/>
        </w:rPr>
        <w:t xml:space="preserve"> </w:t>
      </w:r>
      <w:r w:rsidRPr="00EF27E4">
        <w:rPr>
          <w:sz w:val="24"/>
          <w:szCs w:val="24"/>
        </w:rPr>
        <w:t>essential</w:t>
      </w:r>
      <w:r w:rsidRPr="00EF27E4">
        <w:rPr>
          <w:spacing w:val="-13"/>
          <w:sz w:val="24"/>
          <w:szCs w:val="24"/>
        </w:rPr>
        <w:t xml:space="preserve"> </w:t>
      </w:r>
      <w:r w:rsidRPr="00EF27E4">
        <w:rPr>
          <w:sz w:val="24"/>
          <w:szCs w:val="24"/>
        </w:rPr>
        <w:t>laboratory services they</w:t>
      </w:r>
      <w:r w:rsidRPr="00EF27E4">
        <w:rPr>
          <w:spacing w:val="-1"/>
          <w:sz w:val="24"/>
          <w:szCs w:val="24"/>
        </w:rPr>
        <w:t xml:space="preserve"> </w:t>
      </w:r>
      <w:r w:rsidRPr="00EF27E4">
        <w:rPr>
          <w:sz w:val="24"/>
          <w:szCs w:val="24"/>
        </w:rPr>
        <w:t>need.</w:t>
      </w:r>
    </w:p>
    <w:p w14:paraId="7DCB2EB0" w14:textId="7B0487EF" w:rsidR="00C54502" w:rsidRPr="00C54502" w:rsidRDefault="00C54502" w:rsidP="005A0CC5">
      <w:pPr>
        <w:rPr>
          <w:rFonts w:ascii="Times New Roman" w:hAnsi="Times New Roman" w:cs="Times New Roman"/>
        </w:rPr>
      </w:pPr>
    </w:p>
    <w:p w14:paraId="1C06E94D" w14:textId="77777777" w:rsidR="00C54502" w:rsidRDefault="00C54502" w:rsidP="005A0CC5">
      <w:pPr>
        <w:pStyle w:val="BodyText"/>
        <w:ind w:right="995"/>
      </w:pPr>
    </w:p>
    <w:p w14:paraId="091898B3" w14:textId="77777777" w:rsidR="00EF27E4" w:rsidRPr="00EF27E4" w:rsidRDefault="00EF27E4" w:rsidP="005A0CC5">
      <w:pPr>
        <w:pStyle w:val="BodyText"/>
        <w:ind w:left="104" w:right="995"/>
      </w:pPr>
    </w:p>
    <w:sectPr w:rsidR="00EF27E4" w:rsidRPr="00EF27E4" w:rsidSect="0032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E4"/>
    <w:rsid w:val="00042D1F"/>
    <w:rsid w:val="00055653"/>
    <w:rsid w:val="000C35FE"/>
    <w:rsid w:val="0015081C"/>
    <w:rsid w:val="001A5ABA"/>
    <w:rsid w:val="00211EE4"/>
    <w:rsid w:val="00274978"/>
    <w:rsid w:val="002766C0"/>
    <w:rsid w:val="002D7B2C"/>
    <w:rsid w:val="00325278"/>
    <w:rsid w:val="00464C36"/>
    <w:rsid w:val="004B3BFF"/>
    <w:rsid w:val="004E4469"/>
    <w:rsid w:val="005A0CC5"/>
    <w:rsid w:val="00716CF3"/>
    <w:rsid w:val="00736B33"/>
    <w:rsid w:val="00770B12"/>
    <w:rsid w:val="0079085C"/>
    <w:rsid w:val="00834921"/>
    <w:rsid w:val="0087035A"/>
    <w:rsid w:val="009723A3"/>
    <w:rsid w:val="00973198"/>
    <w:rsid w:val="00C54502"/>
    <w:rsid w:val="00E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CDF0"/>
  <w14:defaultImageDpi w14:val="32767"/>
  <w15:chartTrackingRefBased/>
  <w15:docId w15:val="{8274B464-116D-D049-ADC7-F3A5594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27E4"/>
    <w:pPr>
      <w:widowControl w:val="0"/>
      <w:autoSpaceDE w:val="0"/>
      <w:autoSpaceDN w:val="0"/>
      <w:ind w:left="104"/>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E4"/>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EF27E4"/>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F27E4"/>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EF27E4"/>
    <w:rPr>
      <w:sz w:val="16"/>
      <w:szCs w:val="16"/>
    </w:rPr>
  </w:style>
  <w:style w:type="paragraph" w:styleId="CommentText">
    <w:name w:val="annotation text"/>
    <w:basedOn w:val="Normal"/>
    <w:link w:val="CommentTextChar"/>
    <w:uiPriority w:val="99"/>
    <w:semiHidden/>
    <w:unhideWhenUsed/>
    <w:rsid w:val="00EF27E4"/>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27E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27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7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Office User</cp:lastModifiedBy>
  <cp:revision>2</cp:revision>
  <cp:lastPrinted>2018-10-18T19:56:00Z</cp:lastPrinted>
  <dcterms:created xsi:type="dcterms:W3CDTF">2018-10-18T22:08:00Z</dcterms:created>
  <dcterms:modified xsi:type="dcterms:W3CDTF">2018-10-18T22:08:00Z</dcterms:modified>
</cp:coreProperties>
</file>