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25" w:rsidRDefault="00EC0925" w:rsidP="00EC0925">
      <w:pPr>
        <w:spacing w:after="0" w:line="240" w:lineRule="auto"/>
        <w:rPr>
          <w:rFonts w:ascii="Arial" w:eastAsia="Times New Roman" w:hAnsi="Arial" w:cs="Arial"/>
          <w:color w:val="44546A"/>
        </w:rPr>
      </w:pPr>
    </w:p>
    <w:p w:rsidR="00EC0925" w:rsidRDefault="00EC0925" w:rsidP="00EC0925">
      <w:pPr>
        <w:spacing w:after="0" w:line="240" w:lineRule="auto"/>
        <w:rPr>
          <w:rFonts w:ascii="Arial" w:eastAsia="Times New Roman" w:hAnsi="Arial" w:cs="Arial"/>
          <w:color w:val="44546A"/>
        </w:rPr>
      </w:pPr>
    </w:p>
    <w:p w:rsidR="00EC0925" w:rsidRPr="00C51543" w:rsidRDefault="00EC0925" w:rsidP="00EC0925">
      <w:pPr>
        <w:rPr>
          <w:rFonts w:asciiTheme="majorHAnsi" w:hAnsiTheme="majorHAnsi" w:cs="Calibri"/>
          <w:b/>
          <w:bCs/>
        </w:rPr>
      </w:pPr>
      <w:r w:rsidRPr="00C51543">
        <w:rPr>
          <w:rFonts w:asciiTheme="majorHAnsi" w:hAnsiTheme="majorHAnsi"/>
          <w:noProof/>
        </w:rPr>
        <w:drawing>
          <wp:anchor distT="0" distB="0" distL="114300" distR="114300" simplePos="0" relativeHeight="251659264" behindDoc="0" locked="0" layoutInCell="1" allowOverlap="1" wp14:anchorId="61C3E636" wp14:editId="336384DA">
            <wp:simplePos x="0" y="0"/>
            <wp:positionH relativeFrom="margin">
              <wp:posOffset>-76200</wp:posOffset>
            </wp:positionH>
            <wp:positionV relativeFrom="margin">
              <wp:posOffset>-342900</wp:posOffset>
            </wp:positionV>
            <wp:extent cx="723900" cy="82867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3900" cy="828675"/>
                    </a:xfrm>
                    <a:prstGeom prst="rect">
                      <a:avLst/>
                    </a:prstGeom>
                    <a:noFill/>
                    <a:ln w="9525">
                      <a:noFill/>
                      <a:miter lim="800000"/>
                      <a:headEnd/>
                      <a:tailEnd/>
                    </a:ln>
                  </pic:spPr>
                </pic:pic>
              </a:graphicData>
            </a:graphic>
          </wp:anchor>
        </w:drawing>
      </w:r>
    </w:p>
    <w:p w:rsidR="00EC0925" w:rsidRDefault="00EC0925" w:rsidP="00EC0925">
      <w:pPr>
        <w:widowControl w:val="0"/>
        <w:autoSpaceDE w:val="0"/>
        <w:autoSpaceDN w:val="0"/>
        <w:adjustRightInd w:val="0"/>
        <w:jc w:val="both"/>
        <w:rPr>
          <w:rFonts w:ascii="Times New Roman" w:hAnsi="Times New Roman" w:cs="Times New Roman"/>
          <w:bCs/>
        </w:rPr>
      </w:pPr>
    </w:p>
    <w:p w:rsidR="00EC0925" w:rsidRPr="000C2D3A" w:rsidRDefault="00EC0925" w:rsidP="00EC0925">
      <w:pPr>
        <w:widowControl w:val="0"/>
        <w:autoSpaceDE w:val="0"/>
        <w:autoSpaceDN w:val="0"/>
        <w:adjustRightInd w:val="0"/>
        <w:spacing w:after="0" w:line="240" w:lineRule="auto"/>
        <w:jc w:val="both"/>
        <w:rPr>
          <w:rFonts w:ascii="Times New Roman" w:hAnsi="Times New Roman" w:cs="Times New Roman"/>
          <w:bCs/>
        </w:rPr>
      </w:pPr>
      <w:r w:rsidRPr="000C2D3A">
        <w:rPr>
          <w:rFonts w:ascii="Times New Roman" w:hAnsi="Times New Roman" w:cs="Times New Roman"/>
          <w:bCs/>
        </w:rPr>
        <w:t xml:space="preserve">FOR RELEASE                  </w:t>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t xml:space="preserve">             Contact: Rebecca Reid</w:t>
      </w:r>
    </w:p>
    <w:p w:rsidR="00EC0925" w:rsidRPr="000C2D3A" w:rsidRDefault="00EC0925" w:rsidP="00EC092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September 2</w:t>
      </w:r>
      <w:r w:rsidR="00577B9E">
        <w:rPr>
          <w:rFonts w:ascii="Times New Roman" w:hAnsi="Times New Roman" w:cs="Times New Roman"/>
          <w:bCs/>
        </w:rPr>
        <w:t>6</w:t>
      </w:r>
      <w:bookmarkStart w:id="0" w:name="_GoBack"/>
      <w:bookmarkEnd w:id="0"/>
      <w:r w:rsidRPr="000C2D3A">
        <w:rPr>
          <w:rFonts w:ascii="Times New Roman" w:hAnsi="Times New Roman" w:cs="Times New Roman"/>
          <w:bCs/>
        </w:rPr>
        <w:t>, 201</w:t>
      </w:r>
      <w:r>
        <w:rPr>
          <w:rFonts w:ascii="Times New Roman" w:hAnsi="Times New Roman" w:cs="Times New Roman"/>
          <w:bCs/>
        </w:rPr>
        <w:t>5</w:t>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t xml:space="preserve">                     </w:t>
      </w:r>
      <w:r w:rsidRPr="000C2D3A">
        <w:rPr>
          <w:rFonts w:ascii="Times New Roman" w:hAnsi="Times New Roman" w:cs="Times New Roman"/>
          <w:bCs/>
        </w:rPr>
        <w:tab/>
      </w:r>
      <w:r>
        <w:rPr>
          <w:rFonts w:ascii="Times New Roman" w:hAnsi="Times New Roman" w:cs="Times New Roman"/>
          <w:bCs/>
        </w:rPr>
        <w:t xml:space="preserve"> </w:t>
      </w:r>
      <w:r w:rsidRPr="000C2D3A">
        <w:rPr>
          <w:rFonts w:ascii="Times New Roman" w:hAnsi="Times New Roman" w:cs="Times New Roman"/>
          <w:bCs/>
        </w:rPr>
        <w:t>410-212-3843</w:t>
      </w:r>
      <w:r w:rsidRPr="000C2D3A">
        <w:rPr>
          <w:rFonts w:ascii="Times New Roman" w:hAnsi="Times New Roman" w:cs="Times New Roman"/>
          <w:bCs/>
        </w:rPr>
        <w:tab/>
      </w:r>
    </w:p>
    <w:p w:rsidR="00EC0925" w:rsidRPr="00CE7CC2" w:rsidRDefault="00EC0925" w:rsidP="00EC0925">
      <w:pPr>
        <w:spacing w:after="0" w:line="240" w:lineRule="auto"/>
        <w:rPr>
          <w:rFonts w:ascii="Arial" w:eastAsia="Times New Roman" w:hAnsi="Arial" w:cs="Arial"/>
          <w:b/>
          <w:color w:val="44546A"/>
        </w:rPr>
      </w:pPr>
    </w:p>
    <w:p w:rsidR="00EC0925" w:rsidRDefault="00EC0925" w:rsidP="00EC0925">
      <w:pPr>
        <w:spacing w:after="0" w:line="240" w:lineRule="auto"/>
        <w:rPr>
          <w:rFonts w:ascii="Arial" w:eastAsia="Times New Roman" w:hAnsi="Arial" w:cs="Arial"/>
          <w:color w:val="44546A"/>
        </w:rPr>
      </w:pPr>
    </w:p>
    <w:p w:rsidR="00EC0925" w:rsidRPr="00C91998" w:rsidRDefault="00EC0925" w:rsidP="008A019F">
      <w:pPr>
        <w:spacing w:after="0" w:line="240" w:lineRule="auto"/>
        <w:jc w:val="center"/>
        <w:rPr>
          <w:rFonts w:ascii="Times New Roman" w:eastAsia="Times New Roman" w:hAnsi="Times New Roman" w:cs="Times New Roman"/>
          <w:b/>
          <w:color w:val="000000" w:themeColor="text1"/>
          <w:sz w:val="28"/>
          <w:szCs w:val="28"/>
        </w:rPr>
      </w:pPr>
      <w:r w:rsidRPr="00C91998">
        <w:rPr>
          <w:rFonts w:ascii="Times New Roman" w:eastAsia="Times New Roman" w:hAnsi="Times New Roman" w:cs="Times New Roman"/>
          <w:b/>
          <w:color w:val="000000" w:themeColor="text1"/>
          <w:sz w:val="28"/>
          <w:szCs w:val="28"/>
        </w:rPr>
        <w:t xml:space="preserve">ACLA </w:t>
      </w:r>
      <w:r>
        <w:rPr>
          <w:rFonts w:ascii="Times New Roman" w:eastAsia="Times New Roman" w:hAnsi="Times New Roman" w:cs="Times New Roman"/>
          <w:b/>
          <w:color w:val="000000" w:themeColor="text1"/>
          <w:sz w:val="28"/>
          <w:szCs w:val="28"/>
        </w:rPr>
        <w:t xml:space="preserve">Expresses Serious Concerns About </w:t>
      </w:r>
      <w:r w:rsidRPr="00C91998">
        <w:rPr>
          <w:rFonts w:ascii="Times New Roman" w:eastAsia="Times New Roman" w:hAnsi="Times New Roman" w:cs="Times New Roman"/>
          <w:b/>
          <w:color w:val="000000" w:themeColor="text1"/>
          <w:sz w:val="28"/>
          <w:szCs w:val="28"/>
        </w:rPr>
        <w:t xml:space="preserve">CMS’ </w:t>
      </w:r>
      <w:r>
        <w:rPr>
          <w:rFonts w:ascii="Times New Roman" w:eastAsia="Times New Roman" w:hAnsi="Times New Roman" w:cs="Times New Roman"/>
          <w:b/>
          <w:color w:val="000000" w:themeColor="text1"/>
          <w:sz w:val="28"/>
          <w:szCs w:val="28"/>
        </w:rPr>
        <w:t>Proposed</w:t>
      </w:r>
      <w:r w:rsidRPr="00C91998">
        <w:rPr>
          <w:rFonts w:ascii="Times New Roman" w:eastAsia="Times New Roman" w:hAnsi="Times New Roman" w:cs="Times New Roman"/>
          <w:b/>
          <w:color w:val="000000" w:themeColor="text1"/>
          <w:sz w:val="28"/>
          <w:szCs w:val="28"/>
        </w:rPr>
        <w:t xml:space="preserve"> Rule on </w:t>
      </w:r>
      <w:r w:rsidR="008A019F" w:rsidRPr="008A019F">
        <w:rPr>
          <w:rFonts w:ascii="Times New Roman" w:hAnsi="Times New Roman" w:cs="Times New Roman"/>
          <w:b/>
          <w:color w:val="000000"/>
          <w:sz w:val="28"/>
          <w:szCs w:val="28"/>
        </w:rPr>
        <w:t>Provisions in the Protecting Access to Medicare Act</w:t>
      </w:r>
      <w:r w:rsidR="008A019F">
        <w:rPr>
          <w:rStyle w:val="apple-converted-space"/>
          <w:rFonts w:ascii="Courier New" w:hAnsi="Courier New" w:cs="Courier New"/>
          <w:color w:val="000000"/>
        </w:rPr>
        <w:t> </w:t>
      </w:r>
      <w:r w:rsidR="008A019F" w:rsidRPr="008A019F">
        <w:rPr>
          <w:rStyle w:val="apple-converted-space"/>
          <w:rFonts w:ascii="Times New Roman" w:hAnsi="Times New Roman" w:cs="Times New Roman"/>
          <w:b/>
          <w:color w:val="000000"/>
          <w:sz w:val="28"/>
          <w:szCs w:val="28"/>
        </w:rPr>
        <w:t>(</w:t>
      </w:r>
      <w:r w:rsidR="00165895">
        <w:rPr>
          <w:rFonts w:ascii="Times New Roman" w:eastAsia="Times New Roman" w:hAnsi="Times New Roman" w:cs="Times New Roman"/>
          <w:b/>
          <w:color w:val="000000" w:themeColor="text1"/>
          <w:sz w:val="28"/>
          <w:szCs w:val="28"/>
        </w:rPr>
        <w:t>PAMA</w:t>
      </w:r>
      <w:r w:rsidR="008A019F">
        <w:rPr>
          <w:rFonts w:ascii="Times New Roman" w:eastAsia="Times New Roman" w:hAnsi="Times New Roman" w:cs="Times New Roman"/>
          <w:b/>
          <w:color w:val="000000" w:themeColor="text1"/>
          <w:sz w:val="28"/>
          <w:szCs w:val="28"/>
        </w:rPr>
        <w:t>)</w:t>
      </w:r>
      <w:r w:rsidR="00165895">
        <w:rPr>
          <w:rFonts w:ascii="Times New Roman" w:eastAsia="Times New Roman" w:hAnsi="Times New Roman" w:cs="Times New Roman"/>
          <w:b/>
          <w:color w:val="000000" w:themeColor="text1"/>
          <w:sz w:val="28"/>
          <w:szCs w:val="28"/>
        </w:rPr>
        <w:t xml:space="preserve"> </w:t>
      </w:r>
    </w:p>
    <w:p w:rsidR="00EC0925" w:rsidRDefault="00EC0925" w:rsidP="00EC0925">
      <w:pPr>
        <w:spacing w:after="0" w:line="240" w:lineRule="auto"/>
        <w:rPr>
          <w:rFonts w:ascii="Times New Roman" w:eastAsia="Times New Roman" w:hAnsi="Times New Roman" w:cs="Times New Roman"/>
          <w:color w:val="000000" w:themeColor="text1"/>
        </w:rPr>
      </w:pPr>
    </w:p>
    <w:p w:rsidR="00EC0925" w:rsidRPr="002B3697" w:rsidRDefault="00EC0925" w:rsidP="00EC0925">
      <w:pPr>
        <w:spacing w:after="0" w:line="240" w:lineRule="auto"/>
        <w:rPr>
          <w:rFonts w:ascii="Times New Roman" w:eastAsia="Times New Roman" w:hAnsi="Times New Roman" w:cs="Times New Roman"/>
          <w:color w:val="000000" w:themeColor="text1"/>
        </w:rPr>
      </w:pPr>
    </w:p>
    <w:p w:rsidR="00EC0925" w:rsidRDefault="00EC0925" w:rsidP="00EC0925">
      <w:pPr>
        <w:spacing w:after="0" w:line="240" w:lineRule="auto"/>
        <w:rPr>
          <w:rFonts w:ascii="Times New Roman" w:eastAsia="Times New Roman" w:hAnsi="Times New Roman" w:cs="Times New Roman"/>
          <w:color w:val="000000" w:themeColor="text1"/>
          <w:sz w:val="24"/>
          <w:szCs w:val="24"/>
        </w:rPr>
      </w:pPr>
      <w:r w:rsidRPr="00F62FE3">
        <w:rPr>
          <w:rFonts w:ascii="Times New Roman" w:eastAsia="Times New Roman" w:hAnsi="Times New Roman" w:cs="Times New Roman"/>
          <w:color w:val="000000" w:themeColor="text1"/>
          <w:sz w:val="24"/>
          <w:szCs w:val="24"/>
        </w:rPr>
        <w:t>(WASHINGTON, DC) – The nation’s largest organization representing the public policy interests of clinical laboratories across the U.S., the</w:t>
      </w:r>
      <w:r w:rsidR="001138E3" w:rsidRPr="00727368">
        <w:rPr>
          <w:rFonts w:ascii="Helvetica" w:eastAsia="Times New Roman" w:hAnsi="Helvetica" w:cs="Helvetica"/>
          <w:color w:val="000000" w:themeColor="text1"/>
          <w:sz w:val="21"/>
          <w:szCs w:val="21"/>
        </w:rPr>
        <w:t xml:space="preserve"> </w:t>
      </w:r>
      <w:hyperlink r:id="rId5" w:history="1">
        <w:r w:rsidR="001138E3" w:rsidRPr="00864E64">
          <w:rPr>
            <w:rStyle w:val="Hyperlink"/>
            <w:rFonts w:ascii="Times New Roman" w:eastAsia="Times New Roman" w:hAnsi="Times New Roman" w:cs="Times New Roman"/>
            <w:sz w:val="24"/>
            <w:szCs w:val="24"/>
          </w:rPr>
          <w:t>American Clinical Laboratory Association (ACLA)</w:t>
        </w:r>
      </w:hyperlink>
      <w:r w:rsidR="001138E3">
        <w:rPr>
          <w:rFonts w:ascii="Times New Roman" w:eastAsia="Times New Roman" w:hAnsi="Times New Roman" w:cs="Times New Roman"/>
          <w:color w:val="000000" w:themeColor="text1"/>
          <w:sz w:val="24"/>
          <w:szCs w:val="24"/>
        </w:rPr>
        <w:t>,</w:t>
      </w:r>
      <w:r w:rsidRPr="00F62FE3">
        <w:rPr>
          <w:rFonts w:ascii="Times New Roman" w:eastAsia="Times New Roman" w:hAnsi="Times New Roman" w:cs="Times New Roman"/>
          <w:color w:val="000000" w:themeColor="text1"/>
          <w:sz w:val="24"/>
          <w:szCs w:val="24"/>
        </w:rPr>
        <w:t xml:space="preserve"> said it </w:t>
      </w:r>
      <w:r>
        <w:rPr>
          <w:rFonts w:ascii="Times New Roman" w:eastAsia="Times New Roman" w:hAnsi="Times New Roman" w:cs="Times New Roman"/>
          <w:color w:val="000000" w:themeColor="text1"/>
          <w:sz w:val="24"/>
          <w:szCs w:val="24"/>
        </w:rPr>
        <w:t xml:space="preserve">is continuing to </w:t>
      </w:r>
      <w:r w:rsidRPr="00F62FE3">
        <w:rPr>
          <w:rFonts w:ascii="Times New Roman" w:eastAsia="Times New Roman" w:hAnsi="Times New Roman" w:cs="Times New Roman"/>
          <w:color w:val="000000" w:themeColor="text1"/>
          <w:sz w:val="24"/>
          <w:szCs w:val="24"/>
        </w:rPr>
        <w:t>review and evaluat</w:t>
      </w:r>
      <w:r>
        <w:rPr>
          <w:rFonts w:ascii="Times New Roman" w:eastAsia="Times New Roman" w:hAnsi="Times New Roman" w:cs="Times New Roman"/>
          <w:color w:val="000000" w:themeColor="text1"/>
          <w:sz w:val="24"/>
          <w:szCs w:val="24"/>
        </w:rPr>
        <w:t>e</w:t>
      </w:r>
      <w:r w:rsidRPr="00F62FE3">
        <w:rPr>
          <w:rFonts w:ascii="Times New Roman" w:eastAsia="Times New Roman" w:hAnsi="Times New Roman" w:cs="Times New Roman"/>
          <w:color w:val="000000" w:themeColor="text1"/>
          <w:sz w:val="24"/>
          <w:szCs w:val="24"/>
        </w:rPr>
        <w:t xml:space="preserve"> the proposed rule </w:t>
      </w:r>
      <w:r w:rsidR="002B63E4">
        <w:rPr>
          <w:rFonts w:ascii="Times New Roman" w:eastAsia="Times New Roman" w:hAnsi="Times New Roman" w:cs="Times New Roman"/>
          <w:color w:val="000000" w:themeColor="text1"/>
          <w:sz w:val="24"/>
          <w:szCs w:val="24"/>
        </w:rPr>
        <w:t xml:space="preserve">recently </w:t>
      </w:r>
      <w:r w:rsidRPr="00F62FE3">
        <w:rPr>
          <w:rFonts w:ascii="Times New Roman" w:eastAsia="Times New Roman" w:hAnsi="Times New Roman" w:cs="Times New Roman"/>
          <w:color w:val="000000" w:themeColor="text1"/>
          <w:sz w:val="24"/>
          <w:szCs w:val="24"/>
        </w:rPr>
        <w:t xml:space="preserve">released by the Centers for Medicare and Medicaid Services (CMS) that would </w:t>
      </w:r>
      <w:r w:rsidR="00B85956">
        <w:rPr>
          <w:rFonts w:ascii="Times New Roman" w:eastAsia="Times New Roman" w:hAnsi="Times New Roman" w:cs="Times New Roman"/>
          <w:color w:val="000000" w:themeColor="text1"/>
          <w:sz w:val="24"/>
          <w:szCs w:val="24"/>
        </w:rPr>
        <w:t xml:space="preserve">modify the Medicare reimbursement rate methodology for clinical labs under the </w:t>
      </w:r>
      <w:r w:rsidRPr="00F62FE3">
        <w:rPr>
          <w:rFonts w:ascii="Times New Roman" w:eastAsia="Times New Roman" w:hAnsi="Times New Roman" w:cs="Times New Roman"/>
          <w:color w:val="000000" w:themeColor="text1"/>
          <w:sz w:val="24"/>
          <w:szCs w:val="24"/>
        </w:rPr>
        <w:t>Protecting Access to Medicare Act (PAMA)</w:t>
      </w:r>
      <w:r w:rsidR="001021A9">
        <w:rPr>
          <w:rFonts w:ascii="Times New Roman" w:eastAsia="Times New Roman" w:hAnsi="Times New Roman" w:cs="Times New Roman"/>
          <w:color w:val="000000" w:themeColor="text1"/>
          <w:sz w:val="24"/>
          <w:szCs w:val="24"/>
        </w:rPr>
        <w:t>,</w:t>
      </w:r>
      <w:r w:rsidR="00B85956">
        <w:rPr>
          <w:rFonts w:ascii="Times New Roman" w:eastAsia="Times New Roman" w:hAnsi="Times New Roman" w:cs="Times New Roman"/>
          <w:color w:val="000000" w:themeColor="text1"/>
          <w:sz w:val="24"/>
          <w:szCs w:val="24"/>
        </w:rPr>
        <w:t xml:space="preserve"> but voiced </w:t>
      </w:r>
      <w:r w:rsidR="00B019F1">
        <w:rPr>
          <w:rFonts w:ascii="Times New Roman" w:eastAsia="Times New Roman" w:hAnsi="Times New Roman" w:cs="Times New Roman"/>
          <w:color w:val="000000" w:themeColor="text1"/>
          <w:sz w:val="24"/>
          <w:szCs w:val="24"/>
        </w:rPr>
        <w:t xml:space="preserve">initial </w:t>
      </w:r>
      <w:r w:rsidR="00B85956">
        <w:rPr>
          <w:rFonts w:ascii="Times New Roman" w:eastAsia="Times New Roman" w:hAnsi="Times New Roman" w:cs="Times New Roman"/>
          <w:color w:val="000000" w:themeColor="text1"/>
          <w:sz w:val="24"/>
          <w:szCs w:val="24"/>
        </w:rPr>
        <w:t>concern over the definition of “applicable lab” and other troubling provisions</w:t>
      </w:r>
      <w:r w:rsidRPr="00F62FE3">
        <w:rPr>
          <w:rFonts w:ascii="Times New Roman" w:eastAsia="Times New Roman" w:hAnsi="Times New Roman" w:cs="Times New Roman"/>
          <w:color w:val="000000" w:themeColor="text1"/>
          <w:sz w:val="24"/>
          <w:szCs w:val="24"/>
        </w:rPr>
        <w:t>.</w:t>
      </w:r>
    </w:p>
    <w:p w:rsidR="00EC0925" w:rsidRDefault="00EC0925" w:rsidP="00EC0925">
      <w:pPr>
        <w:spacing w:after="0" w:line="240" w:lineRule="auto"/>
        <w:rPr>
          <w:rFonts w:ascii="Times New Roman" w:eastAsia="Times New Roman" w:hAnsi="Times New Roman" w:cs="Times New Roman"/>
          <w:color w:val="000000" w:themeColor="text1"/>
          <w:sz w:val="24"/>
          <w:szCs w:val="24"/>
        </w:rPr>
      </w:pPr>
    </w:p>
    <w:p w:rsidR="00B019F1" w:rsidRPr="00B019F1" w:rsidRDefault="00EC0925" w:rsidP="00EC0925">
      <w:pPr>
        <w:spacing w:after="0" w:line="240" w:lineRule="auto"/>
        <w:rPr>
          <w:rFonts w:ascii="Times New Roman" w:eastAsia="Times New Roman" w:hAnsi="Times New Roman" w:cs="Times New Roman"/>
          <w:color w:val="000000" w:themeColor="text1"/>
          <w:sz w:val="24"/>
          <w:szCs w:val="24"/>
        </w:rPr>
      </w:pPr>
      <w:r w:rsidRPr="00F62FE3">
        <w:rPr>
          <w:rFonts w:ascii="Times New Roman" w:hAnsi="Times New Roman" w:cs="Times New Roman"/>
          <w:color w:val="000000" w:themeColor="text1"/>
          <w:sz w:val="24"/>
          <w:szCs w:val="24"/>
          <w:shd w:val="clear" w:color="auto" w:fill="FFFFFF"/>
        </w:rPr>
        <w:t>“Modifying the Medicare payment system for clinical laboratory services is a complex undertaking and ACLA is committed to ensuring the end result works for clinical labs, CMS, and Medicare beneficiaries,” said Alan Mertz, President of ACLA. “</w:t>
      </w:r>
      <w:r w:rsidR="001021A9">
        <w:rPr>
          <w:rFonts w:ascii="Times New Roman" w:hAnsi="Times New Roman" w:cs="Times New Roman"/>
          <w:color w:val="000000" w:themeColor="text1"/>
          <w:sz w:val="24"/>
          <w:szCs w:val="24"/>
          <w:shd w:val="clear" w:color="auto" w:fill="FFFFFF"/>
        </w:rPr>
        <w:t xml:space="preserve">However, </w:t>
      </w:r>
      <w:r w:rsidR="001021A9">
        <w:rPr>
          <w:rFonts w:ascii="Times New Roman" w:eastAsia="Times New Roman" w:hAnsi="Times New Roman" w:cs="Times New Roman"/>
          <w:color w:val="000000" w:themeColor="text1"/>
          <w:sz w:val="24"/>
          <w:szCs w:val="24"/>
        </w:rPr>
        <w:t>w</w:t>
      </w:r>
      <w:r w:rsidR="00B019F1" w:rsidRPr="00B019F1">
        <w:rPr>
          <w:rFonts w:ascii="Times New Roman" w:eastAsia="Times New Roman" w:hAnsi="Times New Roman" w:cs="Times New Roman"/>
          <w:color w:val="000000" w:themeColor="text1"/>
          <w:sz w:val="24"/>
          <w:szCs w:val="24"/>
        </w:rPr>
        <w:t xml:space="preserve">e are extremely disappointed </w:t>
      </w:r>
      <w:r w:rsidR="00B019F1" w:rsidRPr="00B019F1">
        <w:rPr>
          <w:rFonts w:ascii="Times New Roman" w:hAnsi="Times New Roman" w:cs="Times New Roman"/>
          <w:color w:val="000000" w:themeColor="text1"/>
          <w:sz w:val="24"/>
          <w:szCs w:val="24"/>
        </w:rPr>
        <w:t xml:space="preserve">with the proposed rule’s definition of ‘applicable laboratory,’ as it appears </w:t>
      </w:r>
      <w:r w:rsidR="00BC6458">
        <w:rPr>
          <w:rFonts w:ascii="Times New Roman" w:hAnsi="Times New Roman" w:cs="Times New Roman"/>
          <w:color w:val="000000" w:themeColor="text1"/>
          <w:sz w:val="24"/>
          <w:szCs w:val="24"/>
        </w:rPr>
        <w:t xml:space="preserve">it would exclude </w:t>
      </w:r>
      <w:r w:rsidR="002B63E4">
        <w:rPr>
          <w:rFonts w:ascii="Times New Roman" w:hAnsi="Times New Roman" w:cs="Times New Roman"/>
          <w:color w:val="000000" w:themeColor="text1"/>
          <w:sz w:val="24"/>
          <w:szCs w:val="24"/>
        </w:rPr>
        <w:t xml:space="preserve">much </w:t>
      </w:r>
      <w:r w:rsidR="00BC6458">
        <w:rPr>
          <w:rFonts w:ascii="Times New Roman" w:hAnsi="Times New Roman" w:cs="Times New Roman"/>
          <w:color w:val="000000" w:themeColor="text1"/>
          <w:sz w:val="24"/>
          <w:szCs w:val="24"/>
        </w:rPr>
        <w:t xml:space="preserve">of the laboratory market in reporting pricing and </w:t>
      </w:r>
      <w:r w:rsidR="00B019F1" w:rsidRPr="00B019F1">
        <w:rPr>
          <w:rFonts w:ascii="Times New Roman" w:hAnsi="Times New Roman" w:cs="Times New Roman"/>
          <w:color w:val="000000" w:themeColor="text1"/>
          <w:sz w:val="24"/>
          <w:szCs w:val="24"/>
        </w:rPr>
        <w:t>is at odds with both the statutory language and Congressional intent.”</w:t>
      </w:r>
    </w:p>
    <w:p w:rsidR="00B019F1" w:rsidRDefault="00B019F1" w:rsidP="00EC0925">
      <w:pPr>
        <w:spacing w:after="0" w:line="240" w:lineRule="auto"/>
        <w:rPr>
          <w:rFonts w:ascii="Times New Roman" w:eastAsia="Times New Roman" w:hAnsi="Times New Roman" w:cs="Times New Roman"/>
          <w:color w:val="000000" w:themeColor="text1"/>
          <w:sz w:val="24"/>
          <w:szCs w:val="24"/>
        </w:rPr>
      </w:pPr>
    </w:p>
    <w:p w:rsidR="00AD5147" w:rsidRDefault="00B019F1" w:rsidP="00AD5147">
      <w:r w:rsidRPr="00B019F1">
        <w:rPr>
          <w:rFonts w:ascii="Times New Roman" w:eastAsia="Times New Roman" w:hAnsi="Times New Roman" w:cs="Times New Roman"/>
          <w:color w:val="000000" w:themeColor="text1"/>
          <w:sz w:val="24"/>
          <w:szCs w:val="24"/>
        </w:rPr>
        <w:t xml:space="preserve">ACLA noted that a preliminary review </w:t>
      </w:r>
      <w:r w:rsidR="00AD5147">
        <w:rPr>
          <w:rFonts w:ascii="Times New Roman" w:eastAsia="Times New Roman" w:hAnsi="Times New Roman" w:cs="Times New Roman"/>
          <w:color w:val="000000" w:themeColor="text1"/>
          <w:sz w:val="24"/>
          <w:szCs w:val="24"/>
        </w:rPr>
        <w:t>of the proposed rule indicates there are several provisions that address issues commented on</w:t>
      </w:r>
      <w:r w:rsidR="00165895">
        <w:rPr>
          <w:rFonts w:ascii="Times New Roman" w:eastAsia="Times New Roman" w:hAnsi="Times New Roman" w:cs="Times New Roman"/>
          <w:color w:val="000000" w:themeColor="text1"/>
          <w:sz w:val="24"/>
          <w:szCs w:val="24"/>
        </w:rPr>
        <w:t xml:space="preserve"> favorably</w:t>
      </w:r>
      <w:r w:rsidR="00AD5147">
        <w:rPr>
          <w:rFonts w:ascii="Times New Roman" w:eastAsia="Times New Roman" w:hAnsi="Times New Roman" w:cs="Times New Roman"/>
          <w:color w:val="000000" w:themeColor="text1"/>
          <w:sz w:val="24"/>
          <w:szCs w:val="24"/>
        </w:rPr>
        <w:t xml:space="preserve"> by the clinical lab organization</w:t>
      </w:r>
      <w:r w:rsidR="00165895">
        <w:rPr>
          <w:rFonts w:ascii="Times New Roman" w:eastAsia="Times New Roman" w:hAnsi="Times New Roman" w:cs="Times New Roman"/>
          <w:color w:val="000000" w:themeColor="text1"/>
          <w:sz w:val="24"/>
          <w:szCs w:val="24"/>
        </w:rPr>
        <w:t>.  H</w:t>
      </w:r>
      <w:r w:rsidR="00AD5147">
        <w:rPr>
          <w:rFonts w:ascii="Times New Roman" w:eastAsia="Times New Roman" w:hAnsi="Times New Roman" w:cs="Times New Roman"/>
          <w:color w:val="000000" w:themeColor="text1"/>
          <w:sz w:val="24"/>
          <w:szCs w:val="24"/>
        </w:rPr>
        <w:t xml:space="preserve">owever, language regarding </w:t>
      </w:r>
      <w:r w:rsidR="001021A9">
        <w:rPr>
          <w:rFonts w:ascii="Times New Roman" w:eastAsia="Times New Roman" w:hAnsi="Times New Roman" w:cs="Times New Roman"/>
          <w:color w:val="000000" w:themeColor="text1"/>
          <w:sz w:val="24"/>
          <w:szCs w:val="24"/>
        </w:rPr>
        <w:t xml:space="preserve">“applicable labs” and </w:t>
      </w:r>
      <w:r w:rsidR="00AD5147">
        <w:rPr>
          <w:rFonts w:ascii="Times New Roman" w:eastAsia="Times New Roman" w:hAnsi="Times New Roman" w:cs="Times New Roman"/>
          <w:color w:val="000000" w:themeColor="text1"/>
          <w:sz w:val="24"/>
          <w:szCs w:val="24"/>
        </w:rPr>
        <w:t>data reporting period is problematic.</w:t>
      </w:r>
    </w:p>
    <w:p w:rsidR="00AD5147" w:rsidRDefault="00AD5147" w:rsidP="00AD5147">
      <w:pPr>
        <w:spacing w:after="0" w:line="240" w:lineRule="auto"/>
        <w:rPr>
          <w:rFonts w:ascii="Times New Roman" w:hAnsi="Times New Roman" w:cs="Times New Roman"/>
          <w:color w:val="000000" w:themeColor="text1"/>
          <w:sz w:val="24"/>
          <w:szCs w:val="24"/>
          <w:shd w:val="clear" w:color="auto" w:fill="FFFFFF"/>
        </w:rPr>
      </w:pPr>
      <w:r w:rsidRPr="00F62FE3" w:rsidDel="00AD5147">
        <w:rPr>
          <w:rFonts w:ascii="Times New Roman" w:eastAsia="Times New Roman" w:hAnsi="Times New Roman" w:cs="Times New Roman"/>
          <w:color w:val="000000" w:themeColor="text1"/>
          <w:sz w:val="24"/>
          <w:szCs w:val="24"/>
        </w:rPr>
        <w:t xml:space="preserve"> </w:t>
      </w:r>
      <w:r w:rsidR="00EC0925" w:rsidRPr="00AD5147">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We need to ensure that CMS is receiving the most accurate data to implement a new fee schedule,” said Mertz. “A </w:t>
      </w:r>
      <w:r w:rsidRPr="00F62FE3">
        <w:rPr>
          <w:rFonts w:ascii="Times New Roman" w:eastAsia="Times New Roman" w:hAnsi="Times New Roman" w:cs="Times New Roman"/>
          <w:color w:val="000000" w:themeColor="text1"/>
          <w:sz w:val="24"/>
          <w:szCs w:val="24"/>
        </w:rPr>
        <w:t xml:space="preserve">successful PAMA implementation </w:t>
      </w:r>
      <w:r>
        <w:rPr>
          <w:rFonts w:ascii="Times New Roman" w:eastAsia="Times New Roman" w:hAnsi="Times New Roman" w:cs="Times New Roman"/>
          <w:color w:val="000000" w:themeColor="text1"/>
          <w:sz w:val="24"/>
          <w:szCs w:val="24"/>
        </w:rPr>
        <w:t>will result</w:t>
      </w:r>
      <w:r w:rsidRPr="00F62FE3">
        <w:rPr>
          <w:rFonts w:ascii="Times New Roman" w:eastAsia="Times New Roman" w:hAnsi="Times New Roman" w:cs="Times New Roman"/>
          <w:color w:val="000000" w:themeColor="text1"/>
          <w:sz w:val="24"/>
          <w:szCs w:val="24"/>
        </w:rPr>
        <w:t xml:space="preserve"> in reimbursement that reflects the broad scope of the market, recognizes the value of laboratory services, and protects access for Medicare beneficiaries.</w:t>
      </w:r>
      <w:r w:rsidRPr="00F62FE3">
        <w:rPr>
          <w:rFonts w:ascii="Times New Roman" w:hAnsi="Times New Roman" w:cs="Times New Roman"/>
          <w:color w:val="000000" w:themeColor="text1"/>
          <w:sz w:val="24"/>
          <w:szCs w:val="24"/>
          <w:shd w:val="clear" w:color="auto" w:fill="FFFFFF"/>
        </w:rPr>
        <w:t>”</w:t>
      </w:r>
    </w:p>
    <w:p w:rsidR="00AD5147" w:rsidRDefault="00AD5147" w:rsidP="00EC0925">
      <w:pPr>
        <w:spacing w:after="0" w:line="240" w:lineRule="auto"/>
        <w:rPr>
          <w:rFonts w:ascii="Times New Roman" w:hAnsi="Times New Roman" w:cs="Times New Roman"/>
          <w:color w:val="000000" w:themeColor="text1"/>
          <w:sz w:val="24"/>
          <w:szCs w:val="24"/>
          <w:shd w:val="clear" w:color="auto" w:fill="FFFFFF"/>
        </w:rPr>
      </w:pPr>
    </w:p>
    <w:p w:rsidR="00EC0925" w:rsidRDefault="001021A9" w:rsidP="00EC0925">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Mertz stated </w:t>
      </w:r>
      <w:r w:rsidR="00EC0925">
        <w:rPr>
          <w:rFonts w:ascii="Times New Roman" w:hAnsi="Times New Roman" w:cs="Times New Roman"/>
          <w:color w:val="000000" w:themeColor="text1"/>
          <w:sz w:val="24"/>
          <w:szCs w:val="24"/>
          <w:shd w:val="clear" w:color="auto" w:fill="FFFFFF"/>
        </w:rPr>
        <w:t>that d</w:t>
      </w:r>
      <w:r w:rsidR="00EC0925" w:rsidRPr="00F62FE3">
        <w:rPr>
          <w:rFonts w:ascii="Times New Roman" w:hAnsi="Times New Roman" w:cs="Times New Roman"/>
          <w:color w:val="000000" w:themeColor="text1"/>
          <w:sz w:val="24"/>
          <w:szCs w:val="24"/>
          <w:shd w:val="clear" w:color="auto" w:fill="FFFFFF"/>
        </w:rPr>
        <w:t xml:space="preserve">ecisions made during this process will have a major impact on the clinical laboratory industry and the patients </w:t>
      </w:r>
      <w:r w:rsidR="00EC0925">
        <w:rPr>
          <w:rFonts w:ascii="Times New Roman" w:hAnsi="Times New Roman" w:cs="Times New Roman"/>
          <w:color w:val="000000" w:themeColor="text1"/>
          <w:sz w:val="24"/>
          <w:szCs w:val="24"/>
          <w:shd w:val="clear" w:color="auto" w:fill="FFFFFF"/>
        </w:rPr>
        <w:t>clinical labs</w:t>
      </w:r>
      <w:r w:rsidR="00EC0925" w:rsidRPr="00F62FE3">
        <w:rPr>
          <w:rFonts w:ascii="Times New Roman" w:hAnsi="Times New Roman" w:cs="Times New Roman"/>
          <w:color w:val="000000" w:themeColor="text1"/>
          <w:sz w:val="24"/>
          <w:szCs w:val="24"/>
          <w:shd w:val="clear" w:color="auto" w:fill="FFFFFF"/>
        </w:rPr>
        <w:t xml:space="preserve"> serve, and it is important that those decisions work to promote ongoing diagnostic innovations and protect access to critical lab testing for Medicare beneficiaries</w:t>
      </w:r>
      <w:r w:rsidR="00EC0925">
        <w:rPr>
          <w:rFonts w:ascii="Times New Roman" w:hAnsi="Times New Roman" w:cs="Times New Roman"/>
          <w:color w:val="000000" w:themeColor="text1"/>
          <w:sz w:val="24"/>
          <w:szCs w:val="24"/>
          <w:shd w:val="clear" w:color="auto" w:fill="FFFFFF"/>
        </w:rPr>
        <w:t>.</w:t>
      </w:r>
    </w:p>
    <w:p w:rsidR="00AD5147" w:rsidRPr="00AD5147" w:rsidRDefault="001021A9" w:rsidP="00AD5147">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sidR="00AD5147" w:rsidRPr="00AD5147">
        <w:rPr>
          <w:rFonts w:ascii="Times New Roman" w:hAnsi="Times New Roman" w:cs="Times New Roman"/>
          <w:color w:val="000000" w:themeColor="text1"/>
          <w:sz w:val="24"/>
          <w:szCs w:val="24"/>
          <w:shd w:val="clear" w:color="auto" w:fill="FFFFFF"/>
        </w:rPr>
        <w:t xml:space="preserve">Because this a </w:t>
      </w:r>
      <w:r w:rsidR="00AD5147" w:rsidRPr="00AD5147">
        <w:rPr>
          <w:rFonts w:ascii="Times New Roman" w:hAnsi="Times New Roman" w:cs="Times New Roman"/>
          <w:i/>
          <w:color w:val="000000" w:themeColor="text1"/>
          <w:sz w:val="24"/>
          <w:szCs w:val="24"/>
          <w:shd w:val="clear" w:color="auto" w:fill="FFFFFF"/>
        </w:rPr>
        <w:t xml:space="preserve">proposed </w:t>
      </w:r>
      <w:r w:rsidR="00AD5147" w:rsidRPr="00AD5147">
        <w:rPr>
          <w:rFonts w:ascii="Times New Roman" w:hAnsi="Times New Roman" w:cs="Times New Roman"/>
          <w:color w:val="000000" w:themeColor="text1"/>
          <w:sz w:val="24"/>
          <w:szCs w:val="24"/>
          <w:shd w:val="clear" w:color="auto" w:fill="FFFFFF"/>
        </w:rPr>
        <w:t>rule, all stakeholders will have the opportunity to comment on it and ask that CMS address areas of concern that are identified,” Mertz said.   “ACLA will comment on the proposed rule and will urge that the laboratory community weigh in with CMS during this critically important comment period.”</w:t>
      </w:r>
    </w:p>
    <w:p w:rsidR="00AD5147" w:rsidRPr="00F62FE3" w:rsidRDefault="00AD5147" w:rsidP="00AD5147">
      <w:pPr>
        <w:spacing w:after="0" w:line="240" w:lineRule="auto"/>
        <w:rPr>
          <w:rFonts w:ascii="Times New Roman" w:hAnsi="Times New Roman" w:cs="Times New Roman"/>
          <w:color w:val="000000" w:themeColor="text1"/>
          <w:sz w:val="24"/>
          <w:szCs w:val="24"/>
          <w:shd w:val="clear" w:color="auto" w:fill="FFFFFF"/>
        </w:rPr>
      </w:pPr>
    </w:p>
    <w:p w:rsidR="00AD5147" w:rsidRPr="00F62FE3" w:rsidRDefault="00AD5147" w:rsidP="00EC0925">
      <w:pPr>
        <w:rPr>
          <w:sz w:val="24"/>
          <w:szCs w:val="24"/>
        </w:rPr>
      </w:pPr>
    </w:p>
    <w:p w:rsidR="00EC0925" w:rsidRPr="005F34B0" w:rsidRDefault="00EC0925" w:rsidP="00EC0925">
      <w:pPr>
        <w:spacing w:before="100" w:beforeAutospacing="1" w:after="100" w:afterAutospacing="1" w:line="240" w:lineRule="auto"/>
        <w:jc w:val="center"/>
        <w:rPr>
          <w:rFonts w:ascii="Times New Roman" w:eastAsia="Times New Roman" w:hAnsi="Times New Roman" w:cs="Times New Roman"/>
          <w:sz w:val="24"/>
          <w:szCs w:val="24"/>
        </w:rPr>
      </w:pPr>
      <w:r w:rsidRPr="005F34B0">
        <w:rPr>
          <w:rFonts w:ascii="Times New Roman" w:eastAsia="Times New Roman" w:hAnsi="Times New Roman" w:cs="Times New Roman"/>
          <w:sz w:val="24"/>
          <w:szCs w:val="24"/>
        </w:rPr>
        <w:t># # #</w:t>
      </w:r>
    </w:p>
    <w:p w:rsidR="00EC0925" w:rsidRPr="005F34B0" w:rsidRDefault="00EC0925" w:rsidP="00EC0925">
      <w:pPr>
        <w:rPr>
          <w:rFonts w:ascii="Times New Roman" w:hAnsi="Times New Roman" w:cs="Times New Roman"/>
        </w:rPr>
      </w:pPr>
      <w:r w:rsidRPr="005F34B0">
        <w:rPr>
          <w:rFonts w:ascii="Times New Roman" w:eastAsia="Times New Roman" w:hAnsi="Times New Roman" w:cs="Times New Roman"/>
          <w:i/>
          <w:color w:val="000000"/>
        </w:rPr>
        <w:t>The ACLA is a not-for-profit association representing the nation’s leading national, regional and esoteric clinical laboratories on key issues of common concern, including federal and state government reimbursement and regulatory policies. </w:t>
      </w:r>
    </w:p>
    <w:p w:rsidR="00EC0925" w:rsidRPr="005F34B0" w:rsidRDefault="00EC0925" w:rsidP="00EC0925">
      <w:pPr>
        <w:rPr>
          <w:rFonts w:ascii="Times New Roman" w:hAnsi="Times New Roman" w:cs="Times New Roman"/>
        </w:rPr>
      </w:pPr>
    </w:p>
    <w:p w:rsidR="00B85956" w:rsidRDefault="00B85956"/>
    <w:sectPr w:rsidR="00B8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5"/>
    <w:rsid w:val="001021A9"/>
    <w:rsid w:val="001138E3"/>
    <w:rsid w:val="00165895"/>
    <w:rsid w:val="00262EFF"/>
    <w:rsid w:val="002B63E4"/>
    <w:rsid w:val="00577B9E"/>
    <w:rsid w:val="008A019F"/>
    <w:rsid w:val="00AD5147"/>
    <w:rsid w:val="00B019F1"/>
    <w:rsid w:val="00B85956"/>
    <w:rsid w:val="00BC6458"/>
    <w:rsid w:val="00EC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E8FFF-4870-4B63-9EA2-D5B3791E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925"/>
    <w:rPr>
      <w:rFonts w:ascii="Segoe UI" w:hAnsi="Segoe UI" w:cs="Segoe UI"/>
      <w:sz w:val="18"/>
      <w:szCs w:val="18"/>
    </w:rPr>
  </w:style>
  <w:style w:type="character" w:customStyle="1" w:styleId="apple-converted-space">
    <w:name w:val="apple-converted-space"/>
    <w:basedOn w:val="DefaultParagraphFont"/>
    <w:rsid w:val="008A019F"/>
  </w:style>
  <w:style w:type="character" w:styleId="Hyperlink">
    <w:name w:val="Hyperlink"/>
    <w:basedOn w:val="DefaultParagraphFont"/>
    <w:uiPriority w:val="99"/>
    <w:unhideWhenUsed/>
    <w:rsid w:val="00113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la.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Reid</dc:creator>
  <cp:keywords/>
  <dc:description/>
  <cp:lastModifiedBy>Rebecca Reid</cp:lastModifiedBy>
  <cp:revision>5</cp:revision>
  <cp:lastPrinted>2015-09-25T22:15:00Z</cp:lastPrinted>
  <dcterms:created xsi:type="dcterms:W3CDTF">2015-09-25T22:32:00Z</dcterms:created>
  <dcterms:modified xsi:type="dcterms:W3CDTF">2015-09-26T18:24:00Z</dcterms:modified>
</cp:coreProperties>
</file>